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70" w:rsidRDefault="00AB79B2">
      <w:r w:rsidRPr="00AB79B2">
        <w:rPr>
          <w:rFonts w:ascii="Bookman Old Style" w:hAnsi="Bookman Old Style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4pt;margin-top:.4pt;width:90.8pt;height:107.9pt;z-index:251661312">
            <v:textbox>
              <w:txbxContent>
                <w:p w:rsidR="00ED2B3B" w:rsidRDefault="00ED2B3B">
                  <w:pPr>
                    <w:rPr>
                      <w:lang w:val="uk-U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26128" cy="923925"/>
                        <wp:effectExtent l="19050" t="0" r="7322" b="0"/>
                        <wp:docPr id="4" name="Рисунок 2" descr="D:\Шеф\Общ орг\Эмблеммы, Беджи и др\Эмблемма jpe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Шеф\Общ орг\Эмблеммы, Беджи и др\Эмблемма jpe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6128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2B3B" w:rsidRPr="003E2C70" w:rsidRDefault="00ED2B3B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AB79B2">
        <w:rPr>
          <w:rFonts w:ascii="Bookman Old Style" w:hAnsi="Bookman Old Style"/>
          <w:noProof/>
          <w:sz w:val="24"/>
          <w:szCs w:val="24"/>
          <w:lang w:val="uk-UA"/>
        </w:rPr>
        <w:pict>
          <v:shape id="_x0000_s1027" type="#_x0000_t202" style="position:absolute;margin-left:0;margin-top:0;width:114pt;height:107.9pt;z-index:251662336;mso-position-horizontal:left;mso-position-horizontal-relative:margin;mso-position-vertical:top;mso-position-vertical-relative:margin;mso-width-relative:margin;mso-height-relative:margin">
            <v:textbox>
              <w:txbxContent>
                <w:p w:rsidR="00ED2B3B" w:rsidRPr="00C956BF" w:rsidRDefault="00ED2B3B">
                  <w:pP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C956BF">
                    <w:rPr>
                      <w:rFonts w:ascii="Bookman Old Style" w:hAnsi="Bookman Old Style"/>
                      <w:b/>
                      <w:sz w:val="24"/>
                      <w:szCs w:val="24"/>
                      <w:lang w:val="uk-UA"/>
                    </w:rPr>
                    <w:t xml:space="preserve">Запорізька обласна громадська організація «Народний захист»    </w:t>
                  </w:r>
                </w:p>
              </w:txbxContent>
            </v:textbox>
            <w10:wrap type="square" anchorx="margin" anchory="margin"/>
          </v:shape>
        </w:pict>
      </w:r>
    </w:p>
    <w:p w:rsidR="003E2C70" w:rsidRDefault="003E2C70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Проект</w:t>
      </w: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ОБЛАСНОЇ  ЦІЛЬОВОЇ  ПРОГРАМИ</w:t>
      </w: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ЗІ  СПРИЯННЯ  РОЗВИТКУ</w:t>
      </w: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ГРОМАДЯНСЬКОГО  СУСПІЛЬСТВА</w:t>
      </w: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В  ЗАПОРІЗЬКІЙ ОБЛАСТІ</w:t>
      </w:r>
    </w:p>
    <w:p w:rsidR="00C956BF" w:rsidRPr="00C956BF" w:rsidRDefault="00C956BF" w:rsidP="00C956BF">
      <w:pPr>
        <w:spacing w:line="240" w:lineRule="auto"/>
        <w:jc w:val="center"/>
        <w:rPr>
          <w:rFonts w:ascii="Bookman Old Style" w:hAnsi="Bookman Old Style"/>
          <w:b/>
          <w:sz w:val="40"/>
          <w:szCs w:val="40"/>
          <w:lang w:val="uk-UA"/>
        </w:rPr>
      </w:pPr>
      <w:r w:rsidRPr="00C956BF">
        <w:rPr>
          <w:rFonts w:ascii="Bookman Old Style" w:hAnsi="Bookman Old Style"/>
          <w:b/>
          <w:sz w:val="40"/>
          <w:szCs w:val="40"/>
          <w:lang w:val="uk-UA"/>
        </w:rPr>
        <w:t>НА   2013 – 2016 роки</w:t>
      </w: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Схвалено н</w:t>
      </w:r>
      <w:r w:rsidR="00ED2B3B">
        <w:rPr>
          <w:rFonts w:ascii="Bookman Old Style" w:hAnsi="Bookman Old Style"/>
          <w:sz w:val="24"/>
          <w:szCs w:val="24"/>
          <w:lang w:val="uk-UA"/>
        </w:rPr>
        <w:t>а засіданні  робочої групи з підготовки громадського  проекту Програми розвитку громадянського суспільства в Запорізькій області Комітету з питань контролю за діями влади, розвитку громадянського суспільства  і громадської експертизи Громадської Ради при Запорізькій обласній державній адміністрації</w:t>
      </w:r>
    </w:p>
    <w:p w:rsidR="00C956BF" w:rsidRDefault="00FD5B73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 xml:space="preserve">08 </w:t>
      </w:r>
      <w:r w:rsidR="00ED2B3B">
        <w:rPr>
          <w:rFonts w:ascii="Bookman Old Style" w:hAnsi="Bookman Old Style"/>
          <w:sz w:val="24"/>
          <w:szCs w:val="24"/>
          <w:lang w:val="uk-UA"/>
        </w:rPr>
        <w:t xml:space="preserve"> </w:t>
      </w:r>
      <w:r>
        <w:rPr>
          <w:rFonts w:ascii="Bookman Old Style" w:hAnsi="Bookman Old Style"/>
          <w:sz w:val="24"/>
          <w:szCs w:val="24"/>
          <w:lang w:val="uk-UA"/>
        </w:rPr>
        <w:t xml:space="preserve">листопада </w:t>
      </w:r>
      <w:r w:rsidR="00C956BF">
        <w:rPr>
          <w:rFonts w:ascii="Bookman Old Style" w:hAnsi="Bookman Old Style"/>
          <w:sz w:val="24"/>
          <w:szCs w:val="24"/>
          <w:lang w:val="uk-UA"/>
        </w:rPr>
        <w:t>2012р.</w:t>
      </w:r>
    </w:p>
    <w:p w:rsidR="00FD5B73" w:rsidRDefault="00FD5B73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FD5B73" w:rsidRDefault="00FD5B73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FD5B73" w:rsidRDefault="00DF2F2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 xml:space="preserve">Уповноважений Представник </w:t>
      </w:r>
      <w:r w:rsidR="00FD5B73">
        <w:rPr>
          <w:rFonts w:ascii="Bookman Old Style" w:hAnsi="Bookman Old Style"/>
          <w:sz w:val="24"/>
          <w:szCs w:val="24"/>
          <w:lang w:val="uk-UA"/>
        </w:rPr>
        <w:t xml:space="preserve"> Комітету                               Заболотна Н.О.</w:t>
      </w:r>
    </w:p>
    <w:p w:rsidR="00FD5B73" w:rsidRDefault="00FD5B73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 xml:space="preserve">Голова робочої групи                               </w:t>
      </w:r>
      <w:r w:rsidR="00DF2F2F">
        <w:rPr>
          <w:rFonts w:ascii="Bookman Old Style" w:hAnsi="Bookman Old Style"/>
          <w:sz w:val="24"/>
          <w:szCs w:val="24"/>
          <w:lang w:val="uk-UA"/>
        </w:rPr>
        <w:t xml:space="preserve">                              </w:t>
      </w:r>
      <w:r>
        <w:rPr>
          <w:rFonts w:ascii="Bookman Old Style" w:hAnsi="Bookman Old Style"/>
          <w:sz w:val="24"/>
          <w:szCs w:val="24"/>
          <w:lang w:val="uk-UA"/>
        </w:rPr>
        <w:t>Заболотна Н.О.</w:t>
      </w:r>
    </w:p>
    <w:p w:rsidR="00C956BF" w:rsidRDefault="00C956BF" w:rsidP="003E2C70">
      <w:pPr>
        <w:spacing w:line="240" w:lineRule="auto"/>
        <w:rPr>
          <w:rFonts w:ascii="Bookman Old Style" w:hAnsi="Bookman Old Style"/>
          <w:sz w:val="24"/>
          <w:szCs w:val="24"/>
          <w:lang w:val="uk-UA"/>
        </w:rPr>
      </w:pPr>
    </w:p>
    <w:p w:rsidR="00C956BF" w:rsidRPr="00B9648C" w:rsidRDefault="00C956BF" w:rsidP="00C956BF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lang w:val="uk-UA"/>
        </w:rPr>
      </w:pPr>
      <w:proofErr w:type="spellStart"/>
      <w:r w:rsidRPr="00B9648C">
        <w:rPr>
          <w:rFonts w:ascii="Bookman Old Style" w:hAnsi="Bookman Old Style"/>
          <w:b/>
          <w:sz w:val="24"/>
          <w:szCs w:val="24"/>
          <w:lang w:val="uk-UA"/>
        </w:rPr>
        <w:t>м.Запоріжжя</w:t>
      </w:r>
      <w:proofErr w:type="spellEnd"/>
    </w:p>
    <w:p w:rsidR="00C956BF" w:rsidRPr="00B9648C" w:rsidRDefault="00C956BF" w:rsidP="00C956BF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lang w:val="uk-UA"/>
        </w:rPr>
      </w:pPr>
      <w:r w:rsidRPr="00B9648C">
        <w:rPr>
          <w:rFonts w:ascii="Bookman Old Style" w:hAnsi="Bookman Old Style"/>
          <w:b/>
          <w:sz w:val="24"/>
          <w:szCs w:val="24"/>
          <w:lang w:val="uk-UA"/>
        </w:rPr>
        <w:t>2012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8"/>
          <w:szCs w:val="28"/>
          <w:lang w:val="uk-UA"/>
        </w:rPr>
      </w:pPr>
      <w:r w:rsidRPr="00B9648C">
        <w:rPr>
          <w:rFonts w:ascii="Bookman Old Style" w:hAnsi="Bookman Old Style" w:cs="TimesNewRomanPS-BoldMT"/>
          <w:b/>
          <w:bCs/>
          <w:sz w:val="28"/>
          <w:szCs w:val="28"/>
        </w:rPr>
        <w:lastRenderedPageBreak/>
        <w:t>ЗМІ</w:t>
      </w:r>
      <w:proofErr w:type="gramStart"/>
      <w:r w:rsidRPr="00B9648C">
        <w:rPr>
          <w:rFonts w:ascii="Bookman Old Style" w:hAnsi="Bookman Old Style" w:cs="TimesNewRomanPS-BoldMT"/>
          <w:b/>
          <w:bCs/>
          <w:sz w:val="28"/>
          <w:szCs w:val="28"/>
        </w:rPr>
        <w:t>СТ</w:t>
      </w:r>
      <w:proofErr w:type="gramEnd"/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-BoldMT"/>
          <w:b/>
          <w:bCs/>
          <w:sz w:val="28"/>
          <w:szCs w:val="28"/>
          <w:lang w:val="uk-UA"/>
        </w:rPr>
      </w:pPr>
    </w:p>
    <w:p w:rsidR="00B9648C" w:rsidRPr="0053482B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 xml:space="preserve">ПАСПОРТ </w:t>
      </w:r>
      <w:r w:rsidRPr="00B9648C">
        <w:rPr>
          <w:rFonts w:ascii="Bookman Old Style" w:hAnsi="Bookman Old Style" w:cs="TimesNewRomanPSMT"/>
          <w:b/>
          <w:sz w:val="28"/>
          <w:szCs w:val="28"/>
          <w:lang w:val="uk-UA"/>
        </w:rPr>
        <w:t xml:space="preserve">  </w:t>
      </w:r>
      <w:r w:rsidRPr="00B9648C">
        <w:rPr>
          <w:rFonts w:ascii="Bookman Old Style" w:hAnsi="Bookman Old Style" w:cs="TimesNewRomanPSMT"/>
          <w:b/>
          <w:sz w:val="28"/>
          <w:szCs w:val="28"/>
        </w:rPr>
        <w:t>ПРОГРАМИ</w:t>
      </w:r>
      <w:r>
        <w:rPr>
          <w:rFonts w:ascii="Bookman Old Style" w:hAnsi="Bookman Old Style" w:cs="TimesNewRomanPSMT"/>
          <w:sz w:val="28"/>
          <w:szCs w:val="28"/>
        </w:rPr>
        <w:t>…………………………………………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……..</w:t>
      </w:r>
      <w:r w:rsidR="0053482B">
        <w:rPr>
          <w:rFonts w:ascii="Bookman Old Style" w:hAnsi="Bookman Old Style" w:cs="TimesNewRomanPSMT"/>
          <w:sz w:val="28"/>
          <w:szCs w:val="28"/>
          <w:lang w:val="uk-UA"/>
        </w:rPr>
        <w:t>3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1</w:t>
      </w:r>
    </w:p>
    <w:p w:rsidR="00B9648C" w:rsidRPr="0053482B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>ЗАГАЛЬНІ ПО</w:t>
      </w:r>
      <w:r>
        <w:rPr>
          <w:rFonts w:ascii="Bookman Old Style" w:hAnsi="Bookman Old Style" w:cs="TimesNewRomanPSMT"/>
          <w:sz w:val="28"/>
          <w:szCs w:val="28"/>
        </w:rPr>
        <w:t>ЛОЖЕННЯ…………………………………………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…….</w:t>
      </w:r>
      <w:r w:rsidR="0053482B">
        <w:rPr>
          <w:rFonts w:ascii="Bookman Old Style" w:hAnsi="Bookman Old Style" w:cs="TimesNewRomanPSMT"/>
          <w:sz w:val="28"/>
          <w:szCs w:val="28"/>
          <w:lang w:val="uk-UA"/>
        </w:rPr>
        <w:t xml:space="preserve"> 5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2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>ВИЗНАЧЕННЯ ОСНОВНИХ ПРОБЛЕМ, НА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 РОЗВ’ЯЗАННЯ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>ЯКИХ СПРЯМОВАНА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 </w:t>
      </w:r>
      <w:r w:rsidRPr="00B9648C">
        <w:rPr>
          <w:rFonts w:ascii="Bookman Old Style" w:hAnsi="Bookman Old Style" w:cs="TimesNewRomanPSMT"/>
          <w:sz w:val="28"/>
          <w:szCs w:val="28"/>
        </w:rPr>
        <w:t>ПРОГРАМ</w:t>
      </w:r>
      <w:r w:rsidR="00FF2A24">
        <w:rPr>
          <w:rFonts w:ascii="Bookman Old Style" w:hAnsi="Bookman Old Style" w:cs="TimesNewRomanPSMT"/>
          <w:sz w:val="28"/>
          <w:szCs w:val="28"/>
        </w:rPr>
        <w:t>А……………………………………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………7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DF1EE3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  <w:lang w:val="uk-UA"/>
        </w:rPr>
      </w:pPr>
      <w:r w:rsidRPr="00DF1EE3">
        <w:rPr>
          <w:rFonts w:ascii="Bookman Old Style" w:hAnsi="Bookman Old Style" w:cs="TimesNewRomanPSMT"/>
          <w:b/>
          <w:sz w:val="28"/>
          <w:szCs w:val="28"/>
          <w:lang w:val="uk-UA"/>
        </w:rPr>
        <w:t>РОЗДІЛ 3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DF1EE3">
        <w:rPr>
          <w:rFonts w:ascii="Bookman Old Style" w:hAnsi="Bookman Old Style" w:cs="TimesNewRomanPSMT"/>
          <w:sz w:val="28"/>
          <w:szCs w:val="28"/>
          <w:lang w:val="uk-UA"/>
        </w:rPr>
        <w:t>ОБГРУНТУВАННЯ ШЛЯХІВ І ЗАСОБІВ РОЗВ’ЯЗАННЯ ПРОБЛЕМ, ДЖЕРЕЛА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 </w:t>
      </w:r>
      <w:r w:rsidRPr="00DF1EE3">
        <w:rPr>
          <w:rFonts w:ascii="Bookman Old Style" w:hAnsi="Bookman Old Style" w:cs="TimesNewRomanPSMT"/>
          <w:sz w:val="28"/>
          <w:szCs w:val="28"/>
          <w:lang w:val="uk-UA"/>
        </w:rPr>
        <w:t xml:space="preserve">ФІНАНСУВАННЯ, СТРОКИ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DF1EE3">
        <w:rPr>
          <w:rFonts w:ascii="Bookman Old Style" w:hAnsi="Bookman Old Style" w:cs="TimesNewRomanPSMT"/>
          <w:sz w:val="28"/>
          <w:szCs w:val="28"/>
          <w:lang w:val="uk-UA"/>
        </w:rPr>
        <w:t>ВИКОНАННЯ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>
        <w:rPr>
          <w:rFonts w:ascii="Bookman Old Style" w:hAnsi="Bookman Old Style" w:cs="TimesNewRomanPSMT"/>
          <w:sz w:val="28"/>
          <w:szCs w:val="28"/>
        </w:rPr>
        <w:t>ПРОГРАМИ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………………………………………………………………</w:t>
      </w:r>
      <w:r w:rsidR="002B452A">
        <w:rPr>
          <w:rFonts w:ascii="Bookman Old Style" w:hAnsi="Bookman Old Style" w:cs="TimesNewRomanPSMT"/>
          <w:sz w:val="28"/>
          <w:szCs w:val="28"/>
          <w:lang w:val="uk-UA"/>
        </w:rPr>
        <w:t>.10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4</w:t>
      </w:r>
    </w:p>
    <w:p w:rsidR="00B9648C" w:rsidRPr="00FF2A24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>МЕТА ПРОГ</w:t>
      </w:r>
      <w:r>
        <w:rPr>
          <w:rFonts w:ascii="Bookman Old Style" w:hAnsi="Bookman Old Style" w:cs="TimesNewRomanPSMT"/>
          <w:sz w:val="28"/>
          <w:szCs w:val="28"/>
        </w:rPr>
        <w:t>РАМИ………………………………………………………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.10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5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 xml:space="preserve">ОСНОВНІ ЗАВДАННЯ ТА ЗАХОДИ РЕАЛІЗАЦІЇ </w:t>
      </w:r>
      <w:r>
        <w:rPr>
          <w:rFonts w:ascii="Bookman Old Style" w:hAnsi="Bookman Old Style" w:cs="TimesNewRomanPSMT"/>
          <w:sz w:val="28"/>
          <w:szCs w:val="28"/>
        </w:rPr>
        <w:t>ПРОГРАМИ</w:t>
      </w:r>
      <w:r>
        <w:rPr>
          <w:rFonts w:ascii="Bookman Old Style" w:hAnsi="Bookman Old Style" w:cs="TimesNewRomanPSMT"/>
          <w:sz w:val="28"/>
          <w:szCs w:val="28"/>
          <w:lang w:val="uk-UA"/>
        </w:rPr>
        <w:t>..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10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6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 xml:space="preserve">ФІНАНСОВЕ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ЗАБЕЗПЕЧЕННЯ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>
        <w:rPr>
          <w:rFonts w:ascii="Bookman Old Style" w:hAnsi="Bookman Old Style" w:cs="TimesNewRomanPSMT"/>
          <w:sz w:val="28"/>
          <w:szCs w:val="28"/>
        </w:rPr>
        <w:t>ПРОГРАМИ…………………</w:t>
      </w:r>
      <w:r>
        <w:rPr>
          <w:rFonts w:ascii="Bookman Old Style" w:hAnsi="Bookman Old Style" w:cs="TimesNewRomanPSMT"/>
          <w:sz w:val="28"/>
          <w:szCs w:val="28"/>
          <w:lang w:val="uk-UA"/>
        </w:rPr>
        <w:t>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 xml:space="preserve"> 11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7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 xml:space="preserve">ОЧІКУВАНІ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РЕЗУЛЬТАТИ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ВИКОНАННЯ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>
        <w:rPr>
          <w:rFonts w:ascii="Bookman Old Style" w:hAnsi="Bookman Old Style" w:cs="TimesNewRomanPSMT"/>
          <w:sz w:val="28"/>
          <w:szCs w:val="28"/>
        </w:rPr>
        <w:t>ПРОГРАМИ……</w:t>
      </w:r>
      <w:r>
        <w:rPr>
          <w:rFonts w:ascii="Bookman Old Style" w:hAnsi="Bookman Old Style" w:cs="TimesNewRomanPSMT"/>
          <w:sz w:val="28"/>
          <w:szCs w:val="28"/>
          <w:lang w:val="uk-UA"/>
        </w:rPr>
        <w:t>…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>. 11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8</w:t>
      </w:r>
    </w:p>
    <w:p w:rsid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sz w:val="28"/>
          <w:szCs w:val="28"/>
        </w:rPr>
        <w:t>КООРДИНАЦІЯ, МОНІТОРИНГ ТА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 </w:t>
      </w:r>
      <w:proofErr w:type="gramStart"/>
      <w:r w:rsidRPr="00B9648C">
        <w:rPr>
          <w:rFonts w:ascii="Bookman Old Style" w:hAnsi="Bookman Old Style" w:cs="TimesNewRomanPSMT"/>
          <w:sz w:val="28"/>
          <w:szCs w:val="28"/>
        </w:rPr>
        <w:t>КОНТРОЛЬ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 xml:space="preserve"> ЗА</w:t>
      </w:r>
      <w:proofErr w:type="gramEnd"/>
      <w:r w:rsidRPr="00B9648C">
        <w:rPr>
          <w:rFonts w:ascii="Bookman Old Style" w:hAnsi="Bookman Old Style" w:cs="TimesNewRomanPSMT"/>
          <w:sz w:val="28"/>
          <w:szCs w:val="28"/>
        </w:rPr>
        <w:t xml:space="preserve"> 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</w:t>
      </w:r>
      <w:r w:rsidRPr="00B9648C">
        <w:rPr>
          <w:rFonts w:ascii="Bookman Old Style" w:hAnsi="Bookman Old Style" w:cs="TimesNewRomanPSMT"/>
          <w:sz w:val="28"/>
          <w:szCs w:val="28"/>
        </w:rPr>
        <w:t>ХОДОМ ВИКОНАННЯ</w:t>
      </w:r>
      <w:r>
        <w:rPr>
          <w:rFonts w:ascii="Bookman Old Style" w:hAnsi="Bookman Old Style" w:cs="TimesNewRomanPSMT"/>
          <w:sz w:val="28"/>
          <w:szCs w:val="28"/>
          <w:lang w:val="uk-UA"/>
        </w:rPr>
        <w:t xml:space="preserve">  </w:t>
      </w:r>
      <w:r w:rsidRPr="00B9648C">
        <w:rPr>
          <w:rFonts w:ascii="Bookman Old Style" w:hAnsi="Bookman Old Style" w:cs="TimesNewRomanPSMT"/>
          <w:sz w:val="28"/>
          <w:szCs w:val="28"/>
        </w:rPr>
        <w:t>ПРОГРАМ</w:t>
      </w:r>
      <w:r>
        <w:rPr>
          <w:rFonts w:ascii="Bookman Old Style" w:hAnsi="Bookman Old Style" w:cs="TimesNewRomanPSMT"/>
          <w:sz w:val="28"/>
          <w:szCs w:val="28"/>
        </w:rPr>
        <w:t>И…………………………………………</w:t>
      </w:r>
      <w:r>
        <w:rPr>
          <w:rFonts w:ascii="Bookman Old Style" w:hAnsi="Bookman Old Style" w:cs="TimesNewRomanPSMT"/>
          <w:sz w:val="28"/>
          <w:szCs w:val="28"/>
          <w:lang w:val="uk-UA"/>
        </w:rPr>
        <w:t>..</w:t>
      </w:r>
      <w:r w:rsidR="00FF2A24">
        <w:rPr>
          <w:rFonts w:ascii="Bookman Old Style" w:hAnsi="Bookman Old Style" w:cs="TimesNewRomanPSMT"/>
          <w:sz w:val="28"/>
          <w:szCs w:val="28"/>
          <w:lang w:val="uk-UA"/>
        </w:rPr>
        <w:t xml:space="preserve">  11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ДОДАТОК 1.1</w:t>
      </w:r>
      <w:r>
        <w:rPr>
          <w:rFonts w:ascii="Bookman Old Style" w:hAnsi="Bookman Old Style" w:cs="TimesNewRomanPSMT"/>
          <w:sz w:val="28"/>
          <w:szCs w:val="28"/>
        </w:rPr>
        <w:t>…………………………………………………………</w:t>
      </w:r>
      <w:r>
        <w:rPr>
          <w:rFonts w:ascii="Bookman Old Style" w:hAnsi="Bookman Old Style" w:cs="TimesNewRomanPSMT"/>
          <w:sz w:val="28"/>
          <w:szCs w:val="28"/>
          <w:lang w:val="uk-UA"/>
        </w:rPr>
        <w:t>…</w:t>
      </w:r>
      <w:r w:rsidR="00BC1417">
        <w:rPr>
          <w:rFonts w:ascii="Bookman Old Style" w:hAnsi="Bookman Old Style" w:cs="TimesNewRomanPSMT"/>
          <w:sz w:val="28"/>
          <w:szCs w:val="28"/>
          <w:lang w:val="uk-UA"/>
        </w:rPr>
        <w:t>14</w:t>
      </w:r>
    </w:p>
    <w:p w:rsidR="00B9648C" w:rsidRPr="00B9648C" w:rsidRDefault="00B9648C" w:rsidP="00B964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B9648C" w:rsidRPr="00B9648C" w:rsidRDefault="00B9648C" w:rsidP="00B9648C">
      <w:pPr>
        <w:spacing w:line="240" w:lineRule="auto"/>
        <w:rPr>
          <w:rFonts w:ascii="Bookman Old Style" w:hAnsi="Bookman Old Style"/>
          <w:b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ДОДАТОК 1.2</w:t>
      </w:r>
      <w:r w:rsidRPr="00B9648C">
        <w:rPr>
          <w:rFonts w:ascii="Bookman Old Style" w:hAnsi="Bookman Old Style" w:cs="TimesNewRomanPSMT"/>
          <w:sz w:val="28"/>
          <w:szCs w:val="28"/>
        </w:rPr>
        <w:t>…………………………………………………………</w:t>
      </w:r>
      <w:r>
        <w:rPr>
          <w:rFonts w:ascii="Bookman Old Style" w:hAnsi="Bookman Old Style" w:cs="TimesNewRomanPSMT"/>
          <w:sz w:val="28"/>
          <w:szCs w:val="28"/>
          <w:lang w:val="uk-UA"/>
        </w:rPr>
        <w:t>…</w:t>
      </w:r>
      <w:r w:rsidR="00BC1417">
        <w:rPr>
          <w:rFonts w:ascii="Bookman Old Style" w:hAnsi="Bookman Old Style" w:cs="TimesNewRomanPSMT"/>
          <w:sz w:val="28"/>
          <w:szCs w:val="28"/>
          <w:lang w:val="uk-UA"/>
        </w:rPr>
        <w:t>15</w:t>
      </w:r>
    </w:p>
    <w:p w:rsidR="00D156D2" w:rsidRPr="007F0C25" w:rsidRDefault="00D156D2" w:rsidP="00D156D2">
      <w:pPr>
        <w:pStyle w:val="ab"/>
        <w:keepNext/>
        <w:widowControl w:val="0"/>
        <w:ind w:left="720"/>
        <w:jc w:val="both"/>
        <w:rPr>
          <w:szCs w:val="28"/>
        </w:rPr>
      </w:pPr>
    </w:p>
    <w:p w:rsidR="00D156D2" w:rsidRDefault="00D156D2" w:rsidP="00D156D2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D156D2" w:rsidRPr="00596949" w:rsidRDefault="00D156D2" w:rsidP="00D156D2">
      <w:pPr>
        <w:spacing w:line="240" w:lineRule="auto"/>
        <w:ind w:right="110"/>
        <w:rPr>
          <w:rFonts w:ascii="Times New Roman" w:hAnsi="Times New Roman"/>
          <w:b/>
          <w:sz w:val="28"/>
          <w:szCs w:val="28"/>
          <w:lang w:val="uk-UA"/>
        </w:rPr>
      </w:pPr>
    </w:p>
    <w:p w:rsidR="00D156D2" w:rsidRPr="00596949" w:rsidRDefault="00D156D2" w:rsidP="00D156D2">
      <w:pPr>
        <w:spacing w:line="240" w:lineRule="auto"/>
        <w:ind w:right="11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56D2" w:rsidRPr="00596949" w:rsidRDefault="00D156D2" w:rsidP="00D156D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56D2" w:rsidRPr="00596949" w:rsidRDefault="00D156D2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156D2" w:rsidRPr="00596949" w:rsidRDefault="0053482B" w:rsidP="00D156D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lastRenderedPageBreak/>
        <w:t xml:space="preserve">ПАСПОРТ </w:t>
      </w:r>
      <w:r w:rsidRPr="00B9648C">
        <w:rPr>
          <w:rFonts w:ascii="Bookman Old Style" w:hAnsi="Bookman Old Style" w:cs="TimesNewRomanPSMT"/>
          <w:b/>
          <w:sz w:val="28"/>
          <w:szCs w:val="28"/>
          <w:lang w:val="uk-UA"/>
        </w:rPr>
        <w:t xml:space="preserve"> </w:t>
      </w:r>
    </w:p>
    <w:p w:rsidR="0053482B" w:rsidRDefault="00D156D2" w:rsidP="00D156D2">
      <w:pPr>
        <w:spacing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 w:rsidRPr="0053482B">
        <w:rPr>
          <w:rFonts w:ascii="Bookman Old Style" w:hAnsi="Bookman Old Style"/>
          <w:b/>
          <w:sz w:val="28"/>
          <w:szCs w:val="28"/>
          <w:lang w:val="uk-UA"/>
        </w:rPr>
        <w:t>обласної цільової програми зі сприяння розвитку гр</w:t>
      </w:r>
      <w:r w:rsidR="00DF1EE3" w:rsidRPr="0053482B">
        <w:rPr>
          <w:rFonts w:ascii="Bookman Old Style" w:hAnsi="Bookman Old Style"/>
          <w:b/>
          <w:sz w:val="28"/>
          <w:szCs w:val="28"/>
          <w:lang w:val="uk-UA"/>
        </w:rPr>
        <w:t xml:space="preserve">омадянського суспільства в Запорізькій області </w:t>
      </w:r>
    </w:p>
    <w:p w:rsidR="00D156D2" w:rsidRPr="0053482B" w:rsidRDefault="00DF1EE3" w:rsidP="00D156D2">
      <w:pPr>
        <w:spacing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 w:rsidRPr="0053482B">
        <w:rPr>
          <w:rFonts w:ascii="Bookman Old Style" w:hAnsi="Bookman Old Style"/>
          <w:b/>
          <w:sz w:val="28"/>
          <w:szCs w:val="28"/>
          <w:lang w:val="uk-UA"/>
        </w:rPr>
        <w:t>на 2013-2016</w:t>
      </w:r>
      <w:r w:rsidR="00D156D2" w:rsidRPr="0053482B">
        <w:rPr>
          <w:rFonts w:ascii="Bookman Old Style" w:hAnsi="Bookman Old Style"/>
          <w:b/>
          <w:sz w:val="28"/>
          <w:szCs w:val="28"/>
          <w:lang w:val="uk-UA"/>
        </w:rPr>
        <w:t xml:space="preserve"> роки</w:t>
      </w:r>
    </w:p>
    <w:p w:rsidR="00D156D2" w:rsidRPr="00596949" w:rsidRDefault="00D156D2" w:rsidP="00D156D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9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27"/>
        <w:gridCol w:w="6096"/>
      </w:tblGrid>
      <w:tr w:rsidR="00D156D2" w:rsidRPr="003A3EE3" w:rsidTr="00B9648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ind w:left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Запорізька </w:t>
            </w: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обласна державна адміністрація</w:t>
            </w:r>
          </w:p>
        </w:tc>
      </w:tr>
      <w:tr w:rsidR="00D156D2" w:rsidRPr="00D93232" w:rsidTr="00B9648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Дата, номе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 і назва розпорядчого документу</w:t>
            </w: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органу виконавчої влади про розроблення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06" w:rsidRPr="00930206" w:rsidRDefault="00D156D2" w:rsidP="00930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 г</w:t>
            </w: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олови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Запорізької </w:t>
            </w: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облдержадміністрації від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08.05.2012 №211</w:t>
            </w: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930206"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першочергові заходи із сприяння розвитку громадянського суспільства в</w:t>
            </w:r>
          </w:p>
          <w:p w:rsidR="00D156D2" w:rsidRPr="00930206" w:rsidRDefault="00930206" w:rsidP="009302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Запорізькій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D156D2" w:rsidRPr="00D93232" w:rsidTr="00B9648C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930206" w:rsidRDefault="00930206" w:rsidP="00930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Робоч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розробки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громадянського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суспільства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Запорізькій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930206">
              <w:rPr>
                <w:rFonts w:ascii="Times New Roman" w:hAnsi="Times New Roman" w:cs="Times New Roman"/>
                <w:sz w:val="28"/>
                <w:szCs w:val="28"/>
              </w:rPr>
              <w:t xml:space="preserve"> на 2013-2016 роки»</w:t>
            </w:r>
          </w:p>
        </w:tc>
      </w:tr>
      <w:tr w:rsidR="00D156D2" w:rsidRPr="00267224" w:rsidTr="00B9648C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8C" w:rsidRDefault="006447EC" w:rsidP="00930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обласна громадська організація «Народний захист»,</w:t>
            </w:r>
          </w:p>
          <w:p w:rsidR="00930206" w:rsidRPr="00930206" w:rsidRDefault="006447EC" w:rsidP="00930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0206"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Робоча група   із розробки проекту програми </w:t>
            </w:r>
            <w:r w:rsid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30206"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прияння розвитку громадянського суспільства в Запорізькій області на 2013-2016 </w:t>
            </w:r>
            <w:r w:rsid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  <w:r w:rsidR="00930206" w:rsidRPr="00930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Комітету з питань контролю за діями влади, розвитку громадянського суспільства і громадської експертизи Громадської Ради при Запорізькій обласній державній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(протокол засідання Комітету №9 від 24.09.2012р.)</w:t>
            </w:r>
          </w:p>
          <w:p w:rsidR="00D156D2" w:rsidRPr="00E84716" w:rsidRDefault="00D156D2" w:rsidP="00B9648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D156D2" w:rsidRPr="00D93232" w:rsidTr="00B9648C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930206" w:rsidP="00B9648C">
            <w:pPr>
              <w:tabs>
                <w:tab w:val="left" w:pos="388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з питань внутрішньої політики та зв’язків з громадськістю Запорізької обласної державної адміністрації</w:t>
            </w:r>
          </w:p>
        </w:tc>
      </w:tr>
      <w:tr w:rsidR="00D156D2" w:rsidRPr="00267224" w:rsidTr="00B9648C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3086D" w:rsidRDefault="006447EC" w:rsidP="0033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економіки, Головне фінансове </w:t>
            </w:r>
            <w:r w:rsidR="00573103"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3103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Pr="00330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AB79B2">
              <w:fldChar w:fldCharType="begin"/>
            </w:r>
            <w:r w:rsidR="00AB79B2">
              <w:instrText>HYPERLINK</w:instrText>
            </w:r>
            <w:r w:rsidR="00AB79B2" w:rsidRPr="00267224">
              <w:rPr>
                <w:lang w:val="uk-UA"/>
              </w:rPr>
              <w:instrText xml:space="preserve"> "</w:instrText>
            </w:r>
            <w:r w:rsidR="00AB79B2">
              <w:instrText>http</w:instrText>
            </w:r>
            <w:r w:rsidR="00AB79B2" w:rsidRPr="00267224">
              <w:rPr>
                <w:lang w:val="uk-UA"/>
              </w:rPr>
              <w:instrText>://</w:instrText>
            </w:r>
            <w:r w:rsidR="00AB79B2">
              <w:instrText>donoda</w:instrText>
            </w:r>
            <w:r w:rsidR="00AB79B2" w:rsidRPr="00267224">
              <w:rPr>
                <w:lang w:val="uk-UA"/>
              </w:rPr>
              <w:instrText>.</w:instrText>
            </w:r>
            <w:r w:rsidR="00AB79B2">
              <w:instrText>gov</w:instrText>
            </w:r>
            <w:r w:rsidR="00AB79B2" w:rsidRPr="00267224">
              <w:rPr>
                <w:lang w:val="uk-UA"/>
              </w:rPr>
              <w:instrText>.</w:instrText>
            </w:r>
            <w:r w:rsidR="00AB79B2">
              <w:instrText>ua</w:instrText>
            </w:r>
            <w:r w:rsidR="00AB79B2" w:rsidRPr="00267224">
              <w:rPr>
                <w:lang w:val="uk-UA"/>
              </w:rPr>
              <w:instrText>/</w:instrText>
            </w:r>
            <w:r w:rsidR="00AB79B2">
              <w:instrText>main</w:instrText>
            </w:r>
            <w:r w:rsidR="00AB79B2" w:rsidRPr="00267224">
              <w:rPr>
                <w:lang w:val="uk-UA"/>
              </w:rPr>
              <w:instrText>/</w:instrText>
            </w:r>
            <w:r w:rsidR="00AB79B2">
              <w:instrText>ua</w:instrText>
            </w:r>
            <w:r w:rsidR="00AB79B2" w:rsidRPr="00267224">
              <w:rPr>
                <w:lang w:val="uk-UA"/>
              </w:rPr>
              <w:instrText>/</w:instrText>
            </w:r>
            <w:r w:rsidR="00AB79B2">
              <w:instrText>publication</w:instrText>
            </w:r>
            <w:r w:rsidR="00AB79B2" w:rsidRPr="00267224">
              <w:rPr>
                <w:lang w:val="uk-UA"/>
              </w:rPr>
              <w:instrText>/</w:instrText>
            </w:r>
            <w:r w:rsidR="00AB79B2">
              <w:instrText>content</w:instrText>
            </w:r>
            <w:r w:rsidR="00AB79B2" w:rsidRPr="00267224">
              <w:rPr>
                <w:lang w:val="uk-UA"/>
              </w:rPr>
              <w:instrText>/10556.</w:instrText>
            </w:r>
            <w:r w:rsidR="00AB79B2">
              <w:instrText>htm</w:instrText>
            </w:r>
            <w:r w:rsidR="00AB79B2" w:rsidRPr="00267224">
              <w:rPr>
                <w:lang w:val="uk-UA"/>
              </w:rPr>
              <w:instrText>"</w:instrText>
            </w:r>
            <w:r w:rsidR="00AB79B2">
              <w:fldChar w:fldCharType="separate"/>
            </w:r>
            <w:r w:rsidRPr="0033086D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u w:val="none"/>
                <w:lang w:val="uk-UA"/>
              </w:rPr>
              <w:t>у</w:t>
            </w:r>
            <w:r w:rsidR="00D156D2" w:rsidRPr="0033086D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u w:val="none"/>
                <w:lang w:val="uk-UA"/>
              </w:rPr>
              <w:t>правління освіти і науки</w:t>
            </w:r>
            <w:r w:rsidR="00AB79B2">
              <w:fldChar w:fldCharType="end"/>
            </w:r>
            <w:r w:rsidR="00573103" w:rsidRPr="00330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086D" w:rsidRPr="00330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56D2" w:rsidRPr="00573103">
              <w:rPr>
                <w:rFonts w:ascii="Times New Roman" w:hAnsi="Times New Roman"/>
                <w:sz w:val="28"/>
                <w:szCs w:val="28"/>
                <w:lang w:val="uk-UA"/>
              </w:rPr>
              <w:t>управ</w:t>
            </w:r>
            <w:r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ління  </w:t>
            </w:r>
            <w:r w:rsidR="00573103"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справах </w:t>
            </w:r>
            <w:r w:rsidR="00D156D2"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преси </w:t>
            </w:r>
            <w:r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інформації Запорізь</w:t>
            </w:r>
            <w:r w:rsidR="00D156D2" w:rsidRP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обласної державної адміністрації , </w:t>
            </w:r>
            <w:r w:rsidR="00B9648C" w:rsidRPr="00DF1EE3">
              <w:rPr>
                <w:rFonts w:ascii="Times New Roman" w:hAnsi="Times New Roman"/>
                <w:sz w:val="28"/>
                <w:szCs w:val="28"/>
                <w:lang w:val="uk-UA"/>
              </w:rPr>
              <w:t>Запорізький</w:t>
            </w:r>
            <w:r w:rsidR="00D156D2" w:rsidRPr="00DF1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організацій, 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73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</w:t>
            </w:r>
            <w:r w:rsidR="00573103" w:rsidRPr="00573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айдержадміністрації,</w:t>
            </w:r>
            <w:r w:rsidR="00330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3103" w:rsidRPr="00573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комітети міських рад</w:t>
            </w:r>
            <w:r w:rsidR="00330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73103" w:rsidRPr="00573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 обласного значення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330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профільні комітети 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>Громадськ</w:t>
            </w:r>
            <w:r w:rsidR="00330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ої 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</w:t>
            </w:r>
            <w:r w:rsidR="00330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 Запорізькій обласній державній адміністрації ( за згодою), профільні </w:t>
            </w:r>
            <w:r w:rsidR="00D156D2" w:rsidRPr="00573103">
              <w:rPr>
                <w:rFonts w:ascii="Times New Roman" w:hAnsi="Times New Roman"/>
                <w:sz w:val="28"/>
                <w:szCs w:val="28"/>
                <w:lang w:val="uk-UA"/>
              </w:rPr>
              <w:t>інститути громадянського сусп</w:t>
            </w:r>
            <w:r w:rsidR="00573103">
              <w:rPr>
                <w:rFonts w:ascii="Times New Roman" w:hAnsi="Times New Roman"/>
                <w:sz w:val="28"/>
                <w:szCs w:val="28"/>
                <w:lang w:val="uk-UA"/>
              </w:rPr>
              <w:t>ільства (за згодою</w:t>
            </w:r>
            <w:r w:rsidR="00D156D2" w:rsidRPr="0057310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156D2" w:rsidRPr="00596949" w:rsidRDefault="00D156D2" w:rsidP="00B9648C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56D2" w:rsidRPr="003A3EE3" w:rsidTr="00B9648C">
        <w:trPr>
          <w:trHeight w:val="2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930206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2013-2016</w:t>
            </w:r>
            <w:r w:rsidR="00D156D2" w:rsidRPr="003A3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156D2" w:rsidRPr="003A3EE3" w:rsidTr="00B9648C">
        <w:trPr>
          <w:trHeight w:val="10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FD2120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D21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Етапи виконання програми</w:t>
            </w:r>
          </w:p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D21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tabs>
                <w:tab w:val="left" w:pos="214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D156D2" w:rsidRPr="003A3EE3" w:rsidTr="00B9648C">
        <w:trPr>
          <w:trHeight w:val="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437021" w:rsidRDefault="00437021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990E77"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>4</w:t>
            </w:r>
            <w:r w:rsidR="00990E77"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990E77"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>420</w:t>
            </w:r>
            <w:r w:rsidRP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т</w:t>
            </w:r>
            <w:r w:rsidR="00D156D2" w:rsidRPr="00437021">
              <w:rPr>
                <w:rFonts w:ascii="Times New Roman" w:hAnsi="Times New Roman"/>
                <w:sz w:val="28"/>
                <w:szCs w:val="28"/>
                <w:lang w:val="uk-UA"/>
              </w:rPr>
              <w:t>ис. грн.</w:t>
            </w:r>
          </w:p>
          <w:p w:rsidR="00D156D2" w:rsidRPr="00437021" w:rsidRDefault="00D156D2" w:rsidP="00B9648C">
            <w:pPr>
              <w:tabs>
                <w:tab w:val="center" w:pos="294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D156D2" w:rsidRPr="00AF3298" w:rsidTr="00B9648C">
        <w:trPr>
          <w:trHeight w:val="7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обласний бюджет</w:t>
            </w:r>
          </w:p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D156D2" w:rsidRPr="0055163C" w:rsidRDefault="00D156D2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585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  <w:r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644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55163C">
              <w:rPr>
                <w:rFonts w:ascii="Times New Roman" w:hAnsi="Times New Roman"/>
                <w:sz w:val="28"/>
                <w:szCs w:val="28"/>
                <w:lang w:val="uk-UA"/>
              </w:rPr>
              <w:t>грн., у тому числі:</w:t>
            </w:r>
          </w:p>
          <w:p w:rsidR="00D156D2" w:rsidRDefault="006447EC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2013</w:t>
            </w:r>
            <w:r w:rsidR="00D156D2" w:rsidRPr="00345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D15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D156D2">
              <w:rPr>
                <w:rFonts w:ascii="Times New Roman" w:hAnsi="Times New Roman"/>
                <w:sz w:val="28"/>
                <w:szCs w:val="28"/>
                <w:lang w:val="uk-UA"/>
              </w:rPr>
              <w:noBreakHyphen/>
              <w:t xml:space="preserve"> </w:t>
            </w:r>
            <w:r w:rsidR="00D156D2"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D156D2"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</w:t>
            </w:r>
            <w:r w:rsidR="00D156D2">
              <w:rPr>
                <w:rFonts w:ascii="Times New Roman" w:hAnsi="Times New Roman"/>
                <w:sz w:val="28"/>
                <w:szCs w:val="28"/>
                <w:lang w:val="uk-UA"/>
              </w:rPr>
              <w:t> грн.</w:t>
            </w:r>
          </w:p>
          <w:p w:rsidR="00D156D2" w:rsidRPr="0055163C" w:rsidRDefault="006447EC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2014</w:t>
            </w:r>
            <w:r w:rsidR="00D156D2" w:rsidRPr="00345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  <w:r w:rsidR="00D156D2"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D156D2"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</w:t>
            </w:r>
            <w:r w:rsidR="00D156D2">
              <w:rPr>
                <w:rFonts w:ascii="Times New Roman" w:hAnsi="Times New Roman"/>
                <w:sz w:val="28"/>
                <w:szCs w:val="28"/>
                <w:lang w:val="uk-UA"/>
              </w:rPr>
              <w:t> грн.</w:t>
            </w:r>
          </w:p>
          <w:p w:rsidR="00D156D2" w:rsidRDefault="006447EC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2015</w:t>
            </w:r>
            <w:r w:rsidR="00D156D2" w:rsidRPr="00345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-         </w:t>
            </w:r>
            <w:r w:rsidR="00D156D2" w:rsidRPr="005516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</w:t>
            </w:r>
            <w:r w:rsidR="00D156D2">
              <w:rPr>
                <w:rFonts w:ascii="Times New Roman" w:hAnsi="Times New Roman"/>
                <w:sz w:val="28"/>
                <w:szCs w:val="28"/>
                <w:lang w:val="uk-UA"/>
              </w:rPr>
              <w:t> грн.</w:t>
            </w:r>
          </w:p>
          <w:p w:rsidR="006447EC" w:rsidRPr="003A3EE3" w:rsidRDefault="00437021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2016 р. –         </w:t>
            </w:r>
            <w:r w:rsidR="00644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47EC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644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156D2" w:rsidRPr="00437021" w:rsidTr="00B9648C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3A3EE3" w:rsidRDefault="00D156D2" w:rsidP="00B964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A3E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437021" w:rsidRDefault="00990E77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Всього:       </w:t>
            </w:r>
            <w:r w:rsidR="00D156D2" w:rsidRP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 грн., у тому числі:</w:t>
            </w:r>
          </w:p>
          <w:p w:rsidR="00D156D2" w:rsidRPr="00437021" w:rsidRDefault="00990E77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2013 р.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noBreakHyphen/>
              <w:t xml:space="preserve">      </w:t>
            </w:r>
            <w:r w:rsidR="00D156D2" w:rsidRP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 грн.   </w:t>
            </w:r>
          </w:p>
          <w:p w:rsidR="00D156D2" w:rsidRPr="00437021" w:rsidRDefault="00990E77" w:rsidP="00B964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2014 р. –      </w:t>
            </w:r>
            <w:r w:rsidR="00D156D2" w:rsidRPr="00437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 грн.</w:t>
            </w:r>
          </w:p>
          <w:p w:rsidR="00D156D2" w:rsidRDefault="00990E77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2015 р.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noBreakHyphen/>
              <w:t xml:space="preserve">         </w:t>
            </w:r>
            <w:r w:rsidR="00D156D2" w:rsidRPr="00437021">
              <w:rPr>
                <w:rFonts w:ascii="Times New Roman" w:hAnsi="Times New Roman"/>
                <w:sz w:val="28"/>
                <w:szCs w:val="28"/>
                <w:lang w:val="uk-UA"/>
              </w:rPr>
              <w:t>тис. грн.</w:t>
            </w:r>
          </w:p>
          <w:p w:rsidR="00990E77" w:rsidRPr="00437021" w:rsidRDefault="00990E77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2016р. -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65557" w:rsidRPr="00437021" w:rsidRDefault="00C65557" w:rsidP="00B964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156D2" w:rsidRDefault="00D156D2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156D2" w:rsidRDefault="00D156D2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156D2" w:rsidRDefault="00D156D2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65557" w:rsidRPr="00596949" w:rsidRDefault="00C65557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3482B" w:rsidRPr="0053482B" w:rsidRDefault="0053482B" w:rsidP="0053482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b/>
          <w:sz w:val="28"/>
          <w:szCs w:val="28"/>
          <w:lang w:val="uk-UA"/>
        </w:rPr>
      </w:pPr>
      <w:r w:rsidRPr="0053482B">
        <w:rPr>
          <w:rFonts w:ascii="Bookman Old Style" w:hAnsi="Bookman Old Style" w:cs="TimesNewRomanPSMT"/>
          <w:b/>
          <w:sz w:val="28"/>
          <w:szCs w:val="28"/>
          <w:lang w:val="uk-UA"/>
        </w:rPr>
        <w:lastRenderedPageBreak/>
        <w:t>РОЗДІЛ 1</w:t>
      </w:r>
    </w:p>
    <w:p w:rsidR="0053482B" w:rsidRPr="00FF2A24" w:rsidRDefault="0053482B" w:rsidP="0053482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b/>
          <w:sz w:val="28"/>
          <w:szCs w:val="28"/>
          <w:lang w:val="uk-UA"/>
        </w:rPr>
      </w:pPr>
      <w:r w:rsidRPr="00FF2A24">
        <w:rPr>
          <w:rFonts w:ascii="Bookman Old Style" w:hAnsi="Bookman Old Style" w:cs="TimesNewRomanPSMT"/>
          <w:b/>
          <w:sz w:val="28"/>
          <w:szCs w:val="28"/>
          <w:lang w:val="uk-UA"/>
        </w:rPr>
        <w:t>ЗАГАЛЬНІ ПОЛОЖЕННЯ</w:t>
      </w:r>
    </w:p>
    <w:p w:rsidR="0053482B" w:rsidRDefault="0053482B" w:rsidP="00534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0E77" w:rsidRPr="00267224" w:rsidRDefault="0053482B" w:rsidP="0053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становлення України як демократичної, соціальної, правової держави важливого значення набувають процеси ефективної </w:t>
      </w:r>
      <w:r w:rsidR="0063300C" w:rsidRPr="0063300C">
        <w:rPr>
          <w:rFonts w:ascii="Times New Roman" w:hAnsi="Times New Roman" w:cs="Times New Roman"/>
          <w:sz w:val="28"/>
          <w:szCs w:val="28"/>
          <w:lang w:val="uk-UA"/>
        </w:rPr>
        <w:t>взаємодії місцевих органів вико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навчої </w:t>
      </w:r>
      <w:r w:rsidR="00682E24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влади, органів місцевого самоврядування з інститутами громадянського суспільства.</w:t>
      </w:r>
      <w:r w:rsidR="00682E24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На цей час формується нова філософія  цієї взаємодії.</w:t>
      </w:r>
    </w:p>
    <w:p w:rsidR="00990E77" w:rsidRPr="0063300C" w:rsidRDefault="00682E24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Така взаємодія повинна базуватися на партнерстві, співробітництві у досягненні мети,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пов'язаних з процесом демократизації усіх сфер державного управління і суспільного життя,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соціально-економічним і духовним прогресом, всебічним забезпеченням захисту прав і свобод людини та громадянина.</w:t>
      </w:r>
    </w:p>
    <w:p w:rsidR="00990E77" w:rsidRPr="0063300C" w:rsidRDefault="00682E24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себе як авангард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>.</w:t>
      </w:r>
    </w:p>
    <w:p w:rsidR="00990E77" w:rsidRPr="00267224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Не дивлячись на те, що кількість інститутів гро</w:t>
      </w:r>
      <w:r w:rsidRPr="00267224">
        <w:rPr>
          <w:rFonts w:ascii="Times New Roman" w:hAnsi="Times New Roman" w:cs="Times New Roman"/>
          <w:sz w:val="28"/>
          <w:szCs w:val="28"/>
          <w:lang w:val="uk-UA"/>
        </w:rPr>
        <w:t xml:space="preserve">мадянського суспільства в 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>Запоріз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ькій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області постійно зростає, їхня роль у суспільно-політичних процесах регіону є незначною,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оскільки розвиток грома</w:t>
      </w:r>
      <w:r w:rsidR="0063300C" w:rsidRPr="00267224">
        <w:rPr>
          <w:rFonts w:ascii="Times New Roman" w:hAnsi="Times New Roman" w:cs="Times New Roman"/>
          <w:sz w:val="28"/>
          <w:szCs w:val="28"/>
          <w:lang w:val="uk-UA"/>
        </w:rPr>
        <w:t xml:space="preserve">дянського суспільства в 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регіоні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є уповільненим.</w:t>
      </w:r>
    </w:p>
    <w:p w:rsidR="00990E77" w:rsidRPr="00267224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Визначальними чинниками, які стримують зростання ефективності громадянського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суспільства області, стали упередженість, недооцінка та суб'єктивність підходів місцевих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органів виконавчої влади до співпраці з інститутами громадянського суспільства, а також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відсутність чітких, прозорих і взаємоприйнятних правил взаємодії між ними. Місцеві органи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виконавчої влади та органи місцевого самоврядування не мають визначених чітких пріоритетів взаємодії з інститутами громадянського суспільства, на різних рівнях управлінських відносин застосовують недосконалі механізми співпраці з громадськістю, що послаблює ефект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від зусиль у сфері розвитку громадянського суспільства.</w:t>
      </w:r>
    </w:p>
    <w:p w:rsidR="00990E77" w:rsidRPr="0063300C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Разом з тим, у розвитку інститутів громадянського</w:t>
      </w:r>
      <w:r w:rsidRPr="00267224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 зацікавлена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влада, яка прагне забезпечити участь громадськості у формуванні і реалізації державної та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політики, про що свідчить чинна нормативно-правова база держави.</w:t>
      </w:r>
    </w:p>
    <w:p w:rsidR="00990E77" w:rsidRPr="0063300C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90E77" w:rsidRPr="0063300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виріш</w:t>
      </w:r>
      <w:r w:rsidRPr="0063300C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Pr="0063300C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6330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сус</w:t>
      </w:r>
      <w:r w:rsidRPr="0063300C">
        <w:rPr>
          <w:rFonts w:ascii="Times New Roman" w:hAnsi="Times New Roman" w:cs="Times New Roman"/>
          <w:sz w:val="28"/>
          <w:szCs w:val="28"/>
        </w:rPr>
        <w:t>пільства</w:t>
      </w:r>
      <w:proofErr w:type="spellEnd"/>
      <w:r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0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0C">
        <w:rPr>
          <w:rFonts w:ascii="Times New Roman" w:hAnsi="Times New Roman" w:cs="Times New Roman"/>
          <w:sz w:val="28"/>
          <w:szCs w:val="28"/>
          <w:lang w:val="uk-UA"/>
        </w:rPr>
        <w:t>Запоріз</w:t>
      </w:r>
      <w:r w:rsidRPr="0063300C">
        <w:rPr>
          <w:rFonts w:ascii="Times New Roman" w:hAnsi="Times New Roman" w:cs="Times New Roman"/>
          <w:sz w:val="28"/>
          <w:szCs w:val="28"/>
        </w:rPr>
        <w:t>ькій</w:t>
      </w:r>
      <w:proofErr w:type="spellEnd"/>
      <w:r w:rsidRPr="0063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0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3300C">
        <w:rPr>
          <w:rFonts w:ascii="Times New Roman" w:hAnsi="Times New Roman" w:cs="Times New Roman"/>
          <w:sz w:val="28"/>
          <w:szCs w:val="28"/>
        </w:rPr>
        <w:t xml:space="preserve"> на 201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300C">
        <w:rPr>
          <w:rFonts w:ascii="Times New Roman" w:hAnsi="Times New Roman" w:cs="Times New Roman"/>
          <w:sz w:val="28"/>
          <w:szCs w:val="28"/>
        </w:rPr>
        <w:t>-201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90E77" w:rsidRPr="0063300C">
        <w:rPr>
          <w:rFonts w:ascii="Times New Roman" w:hAnsi="Times New Roman" w:cs="Times New Roman"/>
          <w:sz w:val="28"/>
          <w:szCs w:val="28"/>
        </w:rPr>
        <w:t xml:space="preserve"> роки (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90E77" w:rsidRPr="0063300C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990E77" w:rsidRPr="0063300C">
        <w:rPr>
          <w:rFonts w:ascii="Times New Roman" w:hAnsi="Times New Roman" w:cs="Times New Roman"/>
          <w:sz w:val="28"/>
          <w:szCs w:val="28"/>
        </w:rPr>
        <w:t>).</w:t>
      </w:r>
    </w:p>
    <w:p w:rsidR="0063300C" w:rsidRPr="00267224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Конституції України, Законів України "Про державні цільові програми", "Про місцеве самоврядування в Україні", "Про місцеві державні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адміністрації", "Про благодійництво і благодійні організації", </w:t>
      </w:r>
      <w:r w:rsidR="0063300C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«Про об’єднання громадян»,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"Про волонтерську діяльність",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267224">
        <w:rPr>
          <w:rFonts w:ascii="Times New Roman" w:hAnsi="Times New Roman" w:cs="Times New Roman"/>
          <w:sz w:val="28"/>
          <w:szCs w:val="28"/>
          <w:lang w:val="uk-UA"/>
        </w:rPr>
        <w:t>"Про доступ до публічної інформації", "Про засади зовнішньої та внутрішньої політики",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0C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Указу Президента України від 24.03.2012 року </w:t>
      </w:r>
    </w:p>
    <w:p w:rsidR="00990E77" w:rsidRPr="0063300C" w:rsidRDefault="0063300C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№ 212/12 «Про стратегію державної політики сприяння розвитку громадянського суспільства та першочергові заходи щодо її реалізації»,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Концепції сприяння органами виконавчої влади розвитку громадянського суспільства, затвердженої розпорядженням Кабінету Міністрів України від 21 листопада 2007 р. № 1035-р</w:t>
      </w:r>
      <w:r w:rsidR="00ED6849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та постанов Кабінету Міністрів України від</w:t>
      </w:r>
      <w:r w:rsidR="00ED6849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3 листопада 2010 року 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№ 996 "Про забезпечення участі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громадськості у формуванні та реалізації державної політики"; від 31 січня 2007 р. № 106 </w:t>
      </w:r>
      <w:r w:rsidR="00990E77" w:rsidRPr="0063300C">
        <w:rPr>
          <w:rFonts w:ascii="Times New Roman" w:hAnsi="Times New Roman" w:cs="Times New Roman"/>
          <w:b/>
          <w:bCs/>
          <w:sz w:val="28"/>
          <w:szCs w:val="28"/>
          <w:lang w:val="uk-UA"/>
        </w:rPr>
        <w:t>"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розроблення та виконання державних цільових програм"; </w:t>
      </w:r>
      <w:r w:rsidR="0053482B">
        <w:rPr>
          <w:rFonts w:ascii="Times New Roman" w:hAnsi="Times New Roman" w:cs="Times New Roman"/>
          <w:sz w:val="28"/>
          <w:szCs w:val="28"/>
          <w:lang w:val="uk-UA"/>
        </w:rPr>
        <w:t xml:space="preserve">від 12.10.2011 року № 1049  «Про затвердження Порядку проведення конкурсу з визначення  програм (проектів, заходів), розроблених громадськими організаціями і творчими спілками, для виконання (реалізації) яких надається фінансова підтримка»;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наказів Міністерства економіки України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від 4 грудня 2006 р. № 367 "Про методичні рекомендації щодо порядку розроблення регіональних цільових програм, моніторингу та звітності про їх виконання" та від 4 грудня 2009 р.№1367 "Про Порядок обміну інформацією між виконавцями державних цільових програм та</w:t>
      </w:r>
      <w:r w:rsidR="00ED6849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координації цієї роботи".</w:t>
      </w:r>
    </w:p>
    <w:p w:rsidR="00990E77" w:rsidRPr="0063300C" w:rsidRDefault="00ED6849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Програма спрямовує зусилля місцевих органів виконавчої влади та органів місцевого</w:t>
      </w:r>
      <w:r w:rsid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самоврядування на створення сприятливих умов для ефективного функціонування третього</w:t>
      </w:r>
      <w:r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сектору, що є основною передумовою залучення громадських організацій до формування</w:t>
      </w:r>
      <w:r w:rsidR="008F556B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державної і регіональної політики та більш повного використання їхнього потенціалу для</w:t>
      </w:r>
      <w:r w:rsidR="008F556B" w:rsidRPr="00633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77" w:rsidRPr="0063300C">
        <w:rPr>
          <w:rFonts w:ascii="Times New Roman" w:hAnsi="Times New Roman" w:cs="Times New Roman"/>
          <w:sz w:val="28"/>
          <w:szCs w:val="28"/>
          <w:lang w:val="uk-UA"/>
        </w:rPr>
        <w:t>розвитку регіону.</w:t>
      </w:r>
    </w:p>
    <w:p w:rsidR="00D156D2" w:rsidRPr="00596949" w:rsidRDefault="00FF2A24" w:rsidP="00D156D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D156D2" w:rsidRPr="00596949">
        <w:rPr>
          <w:rFonts w:ascii="Times New Roman" w:hAnsi="Times New Roman"/>
          <w:b/>
          <w:sz w:val="28"/>
          <w:szCs w:val="28"/>
          <w:lang w:val="uk-UA"/>
        </w:rPr>
        <w:t>Визначення термінів, які вживаються в програмі.</w:t>
      </w:r>
    </w:p>
    <w:p w:rsidR="00D156D2" w:rsidRPr="00990E77" w:rsidRDefault="00D156D2" w:rsidP="0099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6949">
        <w:rPr>
          <w:rFonts w:ascii="Times New Roman" w:hAnsi="Times New Roman"/>
          <w:b/>
          <w:bCs/>
          <w:iCs/>
          <w:sz w:val="28"/>
          <w:szCs w:val="28"/>
          <w:lang w:val="uk-UA"/>
        </w:rPr>
        <w:t>Громадянське суспільство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noBreakHyphen/>
        <w:t xml:space="preserve"> </w:t>
      </w:r>
      <w:r w:rsidRPr="00596949">
        <w:rPr>
          <w:rFonts w:ascii="Times New Roman" w:hAnsi="Times New Roman"/>
          <w:bCs/>
          <w:iCs/>
          <w:sz w:val="28"/>
          <w:szCs w:val="28"/>
          <w:lang w:val="uk-UA"/>
        </w:rPr>
        <w:t>це сукупність самостійних, незалежних від держави інститутів та відносин, заснованих на свободі особистості,  плюралізмі поглядів</w:t>
      </w:r>
      <w:r w:rsidR="00990E77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та демократичному </w:t>
      </w:r>
      <w:r w:rsidR="00990E77" w:rsidRPr="00990E7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правопорядку</w:t>
      </w:r>
      <w:r w:rsidRPr="00990E7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990E77" w:rsidRPr="00990E77">
        <w:rPr>
          <w:rFonts w:ascii="Times New Roman" w:hAnsi="Times New Roman" w:cs="Times New Roman"/>
          <w:sz w:val="28"/>
          <w:szCs w:val="28"/>
          <w:lang w:val="uk-UA"/>
        </w:rPr>
        <w:t>; це суспільний простір, що лежить поза владними, бізнесовими та сімейними взаємозв’язками й діями, в якій індивіди об’єднуються на добровільних засадах для</w:t>
      </w:r>
      <w:r w:rsidR="00990E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0E77" w:rsidRPr="00990E77">
        <w:rPr>
          <w:rFonts w:ascii="Times New Roman" w:hAnsi="Times New Roman" w:cs="Times New Roman"/>
          <w:sz w:val="28"/>
          <w:szCs w:val="28"/>
          <w:lang w:val="uk-UA"/>
        </w:rPr>
        <w:t>задоволення спільних інтересів</w:t>
      </w:r>
    </w:p>
    <w:p w:rsidR="0036367D" w:rsidRPr="0036367D" w:rsidRDefault="00D156D2" w:rsidP="003636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5969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Інститути громадянського суспільства</w:t>
      </w:r>
      <w:r w:rsidR="00990E7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(далі - ІГС)</w:t>
      </w:r>
      <w:r w:rsidRPr="0059694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</w:t>
      </w:r>
      <w:r w:rsidR="0036367D" w:rsidRPr="0036367D">
        <w:rPr>
          <w:rFonts w:ascii="TimesNewRomanPSMT" w:hAnsi="TimesNewRomanPSMT" w:cs="TimesNewRomanPSMT"/>
          <w:sz w:val="24"/>
          <w:szCs w:val="24"/>
          <w:lang w:val="uk-UA"/>
        </w:rPr>
        <w:t xml:space="preserve"> </w:t>
      </w:r>
      <w:r w:rsidR="0036367D" w:rsidRPr="0036367D">
        <w:rPr>
          <w:rFonts w:ascii="TimesNewRomanPSMT" w:hAnsi="TimesNewRomanPSMT" w:cs="TimesNewRomanPSMT"/>
          <w:sz w:val="28"/>
          <w:szCs w:val="28"/>
          <w:lang w:val="uk-UA"/>
        </w:rPr>
        <w:t>це громадські організації, професійні і творчі спілки, організації роботодавців, благодійні фонди, волонтерські організації, релігійні організації, недержавні засоби масової інформації, органи самоорганізації населення, ініціативні групи громадян та інші непідприємницькі товариства та установи.</w:t>
      </w:r>
    </w:p>
    <w:p w:rsidR="00D156D2" w:rsidRDefault="00D156D2" w:rsidP="00D156D2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949">
        <w:rPr>
          <w:rFonts w:ascii="Times New Roman" w:hAnsi="Times New Roman" w:cs="Times New Roman"/>
          <w:b/>
          <w:sz w:val="28"/>
          <w:szCs w:val="28"/>
          <w:lang w:val="uk-UA"/>
        </w:rPr>
        <w:t>Сприяння розвитку громадянського суспільства з боку місцевих органів влади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noBreakHyphen/>
        <w:t xml:space="preserve"> </w:t>
      </w:r>
      <w:r w:rsidRPr="00596949">
        <w:rPr>
          <w:rFonts w:ascii="Times New Roman" w:hAnsi="Times New Roman" w:cs="Times New Roman"/>
          <w:sz w:val="28"/>
          <w:szCs w:val="28"/>
          <w:lang w:val="uk-UA"/>
        </w:rPr>
        <w:t xml:space="preserve">це  налагодження ефективної взаємодії місцевих органів виконавчої влади та органів місцевого самоврядування з інститутами  громадянського суспільства, </w:t>
      </w:r>
      <w:r w:rsidR="0036367D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>базуєть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596949">
        <w:rPr>
          <w:rFonts w:ascii="Times New Roman" w:hAnsi="Times New Roman" w:cs="Times New Roman"/>
          <w:sz w:val="28"/>
          <w:szCs w:val="28"/>
          <w:lang w:val="uk-UA"/>
        </w:rPr>
        <w:t xml:space="preserve"> на партнерстві, взаємній зацікавленості у досягненні цілей, пов’яз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аних з процесом демократизації в</w:t>
      </w:r>
      <w:r w:rsidRPr="00596949">
        <w:rPr>
          <w:rFonts w:ascii="Times New Roman" w:hAnsi="Times New Roman" w:cs="Times New Roman"/>
          <w:sz w:val="28"/>
          <w:szCs w:val="28"/>
          <w:lang w:val="uk-UA"/>
        </w:rPr>
        <w:t>сіх сфер державного управління та суспільного життя, соціально-економічним та духовним прогресом, всебічним забезпеченням захисту прав і свобод людини та громадянина.</w:t>
      </w:r>
    </w:p>
    <w:p w:rsidR="00B5160B" w:rsidRPr="00B5160B" w:rsidRDefault="00B5160B" w:rsidP="00B51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Інформаційно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просвітницька кампанія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>– здійснення заходів, спрямованих на пропаганду розвитку ІГС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 засоби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масової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>інформації та інші інноваційні комунікації.</w:t>
      </w:r>
    </w:p>
    <w:p w:rsidR="00B5160B" w:rsidRPr="00B5160B" w:rsidRDefault="000F3377" w:rsidP="00B51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Ресурсний Ц</w:t>
      </w:r>
      <w:r w:rsidR="00B5160B"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громадських ініціатив </w:t>
      </w:r>
      <w:r w:rsidR="00B5160B"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– організація, метою якої є надання безпосередньої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допомоги громадянам та ІГС області в їх залученні до формування та реалізації 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регіональної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а також реалізації соціально-значимих 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ініціатив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>;  підняття рівня громадської активності.</w:t>
      </w:r>
    </w:p>
    <w:p w:rsidR="00B5160B" w:rsidRPr="00B5160B" w:rsidRDefault="00B5160B" w:rsidP="00B51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Соціальне замовлення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– це інструмент розв’язання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>пріоритетних соціальних проблем на основі співпраці влади і громади, спрямованої на їх вирішення; це незадоволені соціальні потреби та інтереси членів територіальної громади, сформульовані в узагальненому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160B">
        <w:rPr>
          <w:rFonts w:ascii="Times New Roman" w:hAnsi="Times New Roman" w:cs="Times New Roman"/>
          <w:sz w:val="28"/>
          <w:szCs w:val="28"/>
          <w:lang w:val="uk-UA"/>
        </w:rPr>
        <w:t>вигляді як соціальне завдання для вирішення.</w:t>
      </w:r>
    </w:p>
    <w:p w:rsidR="00B5160B" w:rsidRPr="00B5160B" w:rsidRDefault="002B452A" w:rsidP="00B51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7BB5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ідтримки </w:t>
      </w:r>
      <w:r w:rsidR="00B5160B"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7B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громадських </w:t>
      </w:r>
      <w:r w:rsidR="00B5160B"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ініціатив </w:t>
      </w:r>
      <w:r w:rsidR="000B7B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сприяння їх впровадженню</w:t>
      </w:r>
      <w:r w:rsidR="00B5160B" w:rsidRPr="00B516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– надання місцевими органами виконавчої влади та органами місцевого самоврядування організаційної, фінансової, технічної,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методичної 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5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60B" w:rsidRPr="00B5160B">
        <w:rPr>
          <w:rFonts w:ascii="Times New Roman" w:hAnsi="Times New Roman" w:cs="Times New Roman"/>
          <w:sz w:val="28"/>
          <w:szCs w:val="28"/>
          <w:lang w:val="uk-UA"/>
        </w:rPr>
        <w:t xml:space="preserve"> іншої допомоги громадянам та ІГС у реалізації соціально значимих ініціатив.</w:t>
      </w:r>
    </w:p>
    <w:p w:rsidR="00D156D2" w:rsidRDefault="00D156D2" w:rsidP="00B516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6949">
        <w:rPr>
          <w:rFonts w:ascii="Times New Roman" w:hAnsi="Times New Roman"/>
          <w:b/>
          <w:sz w:val="28"/>
          <w:szCs w:val="28"/>
          <w:lang w:val="uk-UA"/>
        </w:rPr>
        <w:t xml:space="preserve">Обласна цільова програма зі сприяння розвитку громадянського суспільства - </w:t>
      </w:r>
      <w:r w:rsidRPr="00596949">
        <w:rPr>
          <w:rFonts w:ascii="Times New Roman" w:hAnsi="Times New Roman"/>
          <w:sz w:val="28"/>
          <w:szCs w:val="28"/>
          <w:lang w:val="uk-UA"/>
        </w:rPr>
        <w:t>це сукупність взаємопов'язаних завдань і заходів, узгоджених за строками та ресурсним забезпеченням з усіма задіяними виконавцями, спрямованих на розв'язання найактуальніших проблем розвитку гр</w:t>
      </w:r>
      <w:r w:rsidR="00B5160B">
        <w:rPr>
          <w:rFonts w:ascii="Times New Roman" w:hAnsi="Times New Roman"/>
          <w:sz w:val="28"/>
          <w:szCs w:val="28"/>
          <w:lang w:val="uk-UA"/>
        </w:rPr>
        <w:t>омадянського суспільства в Запоріз</w:t>
      </w:r>
      <w:r w:rsidRPr="00596949">
        <w:rPr>
          <w:rFonts w:ascii="Times New Roman" w:hAnsi="Times New Roman"/>
          <w:sz w:val="28"/>
          <w:szCs w:val="28"/>
          <w:lang w:val="uk-UA"/>
        </w:rPr>
        <w:t xml:space="preserve">ькій області, реалізація яких здійснюється за рахунок коштів місцевого бюджету та інших залучених ресурсів і є складовою щорічної програми соціально-економічного розвитку регіону. </w:t>
      </w:r>
    </w:p>
    <w:p w:rsidR="0053482B" w:rsidRPr="00B9648C" w:rsidRDefault="0053482B" w:rsidP="0053482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b/>
          <w:sz w:val="28"/>
          <w:szCs w:val="28"/>
        </w:rPr>
      </w:pPr>
      <w:r w:rsidRPr="00B9648C">
        <w:rPr>
          <w:rFonts w:ascii="Bookman Old Style" w:hAnsi="Bookman Old Style" w:cs="TimesNewRomanPSMT"/>
          <w:b/>
          <w:sz w:val="28"/>
          <w:szCs w:val="28"/>
        </w:rPr>
        <w:t>РОЗДІЛ 2</w:t>
      </w:r>
    </w:p>
    <w:p w:rsidR="0053482B" w:rsidRPr="00FF2A24" w:rsidRDefault="0053482B" w:rsidP="0053482B">
      <w:pPr>
        <w:spacing w:after="0" w:line="240" w:lineRule="auto"/>
        <w:jc w:val="center"/>
        <w:rPr>
          <w:rFonts w:ascii="Bookman Old Style" w:hAnsi="Bookman Old Style" w:cs="TimesNewRomanPSMT"/>
          <w:b/>
          <w:sz w:val="28"/>
          <w:szCs w:val="28"/>
          <w:lang w:val="uk-UA"/>
        </w:rPr>
      </w:pPr>
      <w:r w:rsidRPr="00FF2A24">
        <w:rPr>
          <w:rFonts w:ascii="Bookman Old Style" w:hAnsi="Bookman Old Style" w:cs="TimesNewRomanPSMT"/>
          <w:b/>
          <w:sz w:val="28"/>
          <w:szCs w:val="28"/>
        </w:rPr>
        <w:t>ВИЗНАЧЕННЯ ОСНОВНИХ ПРОБЛЕМ, НА</w:t>
      </w:r>
      <w:r w:rsidRPr="00FF2A24">
        <w:rPr>
          <w:rFonts w:ascii="Bookman Old Style" w:hAnsi="Bookman Old Style" w:cs="TimesNewRomanPSMT"/>
          <w:b/>
          <w:sz w:val="28"/>
          <w:szCs w:val="28"/>
          <w:lang w:val="uk-UA"/>
        </w:rPr>
        <w:t xml:space="preserve"> </w:t>
      </w:r>
      <w:r w:rsidRPr="00FF2A24">
        <w:rPr>
          <w:rFonts w:ascii="Bookman Old Style" w:hAnsi="Bookman Old Style" w:cs="TimesNewRomanPSMT"/>
          <w:b/>
          <w:sz w:val="28"/>
          <w:szCs w:val="28"/>
        </w:rPr>
        <w:t xml:space="preserve"> РОЗВ’ЯЗАННЯ </w:t>
      </w:r>
      <w:r w:rsidRPr="00FF2A24">
        <w:rPr>
          <w:rFonts w:ascii="Bookman Old Style" w:hAnsi="Bookman Old Style" w:cs="TimesNewRomanPSMT"/>
          <w:b/>
          <w:sz w:val="28"/>
          <w:szCs w:val="28"/>
          <w:lang w:val="uk-UA"/>
        </w:rPr>
        <w:t xml:space="preserve"> </w:t>
      </w:r>
      <w:r w:rsidRPr="00FF2A24">
        <w:rPr>
          <w:rFonts w:ascii="Bookman Old Style" w:hAnsi="Bookman Old Style" w:cs="TimesNewRomanPSMT"/>
          <w:b/>
          <w:sz w:val="28"/>
          <w:szCs w:val="28"/>
        </w:rPr>
        <w:t>ЯКИХ СПРЯМОВАНА</w:t>
      </w:r>
      <w:r w:rsidRPr="00FF2A24">
        <w:rPr>
          <w:rFonts w:ascii="Bookman Old Style" w:hAnsi="Bookman Old Style" w:cs="TimesNewRomanPSMT"/>
          <w:b/>
          <w:sz w:val="28"/>
          <w:szCs w:val="28"/>
          <w:lang w:val="uk-UA"/>
        </w:rPr>
        <w:t xml:space="preserve">  </w:t>
      </w:r>
      <w:r w:rsidRPr="00FF2A24">
        <w:rPr>
          <w:rFonts w:ascii="Bookman Old Style" w:hAnsi="Bookman Old Style" w:cs="TimesNewRomanPSMT"/>
          <w:b/>
          <w:sz w:val="28"/>
          <w:szCs w:val="28"/>
        </w:rPr>
        <w:t>ПРОГРАМА</w:t>
      </w:r>
    </w:p>
    <w:p w:rsidR="004E035B" w:rsidRDefault="004E035B" w:rsidP="004E035B">
      <w:pPr>
        <w:spacing w:after="0" w:line="240" w:lineRule="auto"/>
        <w:rPr>
          <w:rFonts w:ascii="Bookman Old Style" w:hAnsi="Bookman Old Style" w:cs="TimesNewRomanPSMT"/>
          <w:sz w:val="28"/>
          <w:szCs w:val="28"/>
          <w:lang w:val="uk-UA"/>
        </w:rPr>
      </w:pPr>
    </w:p>
    <w:p w:rsidR="00A06AC9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У Запорізь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кій області, як здебільшого і загалом в Україні, фіксується низький рівень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розвитку громадянського суспільства, суспільно-значимої самодіяльної добровільної активності громадян.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дивлячись на те, що кількість інститутів громадянського суспільства (далі - ІГС) та</w:t>
      </w:r>
      <w:r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сфер їхньої діяльності у 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Запоріз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ькій області постійно зростає, громадська активність часто є відірваною від поточних суспільних процесів, що обумовлюється недостатнім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рівнем кадрової, інтелектуальної, фінансової та інституційної спроможності громадських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організацій.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Абсолютна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у т.ч.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Запоріз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ької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, не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входить </w:t>
      </w:r>
      <w:proofErr w:type="gram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жодного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інституту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громадянського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не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їхній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6AC9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0E123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початок  листопада  2012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голов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ним управлінням юстиції в Запоріз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ькій області зареєстровано </w:t>
      </w:r>
      <w:r w:rsidR="000E123F" w:rsidRPr="000E123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uk-UA"/>
        </w:rPr>
        <w:t>…….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громадських організацій різної спрямованості (з них </w:t>
      </w:r>
      <w:r w:rsidR="000E123F" w:rsidRPr="000E123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uk-UA"/>
        </w:rPr>
        <w:t>……..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легалізовані шляхом реєстрації як юридичні особи, </w:t>
      </w:r>
      <w:r w:rsidR="000E123F" w:rsidRPr="000E123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uk-UA"/>
        </w:rPr>
        <w:t>…….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шляхом повідомлення) та </w:t>
      </w:r>
      <w:r w:rsidR="000E123F" w:rsidRPr="000E123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uk-UA"/>
        </w:rPr>
        <w:t>……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благодійних організацій та фондів.</w:t>
      </w:r>
    </w:p>
    <w:p w:rsidR="00A06AC9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Вплив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ІГС на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суспільні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процеси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незначним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безсистемним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, у т.ч. в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стосуються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громад.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Позитивні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приклади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налагодження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ефективної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співпраці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місцевими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Запоріз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ької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інститутами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громадянського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скоріш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вираженням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політичних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міжособистісних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обставин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проявами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системної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C86805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Фіксується взаємна недовіра між владою та інститутами громадянського суспільства,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виявляється у відчуженості та, інколи, в радикальних протистояннях замість солідарної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відповідальності за стан місцевого розвитку. </w:t>
      </w:r>
      <w:proofErr w:type="spellStart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Рзом</w:t>
      </w:r>
      <w:proofErr w:type="spellEnd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тим спостерігається низький рівень знань у </w:t>
      </w:r>
      <w:proofErr w:type="spellStart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держслужбовців</w:t>
      </w:r>
      <w:proofErr w:type="spellEnd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  застосування механізмів взаємодії з громадськістю, розвитку громадянського суспільства, доступу до публічної інформації, застосування механізмів місцевої демократії і демократії участі. Етична поведінка </w:t>
      </w:r>
      <w:proofErr w:type="spellStart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держслужбовців</w:t>
      </w:r>
      <w:proofErr w:type="spellEnd"/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при взаємодії з громадськістю не задовольняє останніх.</w:t>
      </w:r>
    </w:p>
    <w:p w:rsidR="00C86805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той же час інститути громадянського суспільства демонструють низький 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рівень знань  з питань</w:t>
      </w:r>
      <w:r w:rsidR="00E15E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органів влади, 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громадянського суспільства і застосування механізмів місцевої демократії, низький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рівень зв’язку з соціальними групами місцевої громади, що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сприяє поширенню суспільної недовіри до їхньої діяльності та негативно впливає на інтенсивність участі громадян, самоорганізації та приватної благодійності. </w:t>
      </w:r>
    </w:p>
    <w:p w:rsidR="00C86805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Низький рівень знань представників ЗМІ з питань розвитку громадянського суспільства  і їх відсторонення від процесів розвитку громадянського суспільства в області  сприяють поглибленню цієї недовіри.</w:t>
      </w:r>
    </w:p>
    <w:p w:rsidR="00E15EC9" w:rsidRPr="00FC79BA" w:rsidRDefault="00E15E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Наявний  громадський потенціал  не використовується належним чином.</w:t>
      </w:r>
    </w:p>
    <w:p w:rsidR="00A06AC9" w:rsidRPr="00FC79BA" w:rsidRDefault="00C86805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Значна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частка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ІГС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прямо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владних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бізнесових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не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сталої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іальної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спричиняє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залежність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ІГС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вузького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 w:rsidR="000A2F6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джерел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місцевому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рівні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чітких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пріоритетів</w:t>
      </w:r>
      <w:proofErr w:type="spellEnd"/>
      <w:r w:rsidR="000A2F6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громадської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6AC9" w:rsidRDefault="000A2F6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 як більшість інститутів громадянського суспільства не мають доступу до бюджетної фінансової підтримки для виконання своїх статутних завдань, а недосконалість податкового законодавства не стимулює підтримку їхньої діяльності з боку благодійників і меценатів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механізми участі громадськості у вирішенні місцевих питань належним чином не впроваджуються у публічне управління.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Як результат,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низький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івень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суспільно-корисної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добровільної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="00A06AC9"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452A" w:rsidRPr="002B452A" w:rsidRDefault="000E123F" w:rsidP="002B4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Разом з тим</w:t>
      </w:r>
      <w:r w:rsidR="002B452A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</w:t>
      </w:r>
      <w:r w:rsidR="002B452A" w:rsidRPr="002B452A">
        <w:rPr>
          <w:rFonts w:ascii="Times New Roman" w:hAnsi="Times New Roman" w:cs="Times New Roman"/>
          <w:sz w:val="28"/>
          <w:szCs w:val="28"/>
          <w:lang w:val="uk-UA"/>
        </w:rPr>
        <w:t>а даними   авторитетного рейтингу, що визначається у межах дослідження Індексу сталості неурядових організацій Агентства США з міжнародного розвитку (</w:t>
      </w:r>
      <w:r w:rsidR="002B452A" w:rsidRPr="002B452A">
        <w:rPr>
          <w:rFonts w:ascii="Times New Roman" w:hAnsi="Times New Roman" w:cs="Times New Roman"/>
          <w:i/>
          <w:iCs/>
          <w:sz w:val="28"/>
          <w:szCs w:val="28"/>
        </w:rPr>
        <w:t>USAID</w:t>
      </w:r>
      <w:r w:rsidR="002B452A" w:rsidRPr="002B452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B452A" w:rsidRPr="002B452A">
        <w:rPr>
          <w:rFonts w:ascii="Times New Roman" w:hAnsi="Times New Roman" w:cs="Times New Roman"/>
          <w:i/>
          <w:iCs/>
          <w:sz w:val="28"/>
          <w:szCs w:val="28"/>
        </w:rPr>
        <w:t>NGO</w:t>
      </w:r>
      <w:r w:rsidR="002B452A" w:rsidRPr="002B452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B452A" w:rsidRPr="002B452A">
        <w:rPr>
          <w:rFonts w:ascii="Times New Roman" w:hAnsi="Times New Roman" w:cs="Times New Roman"/>
          <w:i/>
          <w:iCs/>
          <w:sz w:val="28"/>
          <w:szCs w:val="28"/>
        </w:rPr>
        <w:t>Sustainability</w:t>
      </w:r>
      <w:proofErr w:type="spellEnd"/>
      <w:r w:rsidR="002B452A"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B452A" w:rsidRPr="002B452A">
        <w:rPr>
          <w:rFonts w:ascii="Times New Roman" w:hAnsi="Times New Roman" w:cs="Times New Roman"/>
          <w:i/>
          <w:iCs/>
          <w:sz w:val="28"/>
          <w:szCs w:val="28"/>
        </w:rPr>
        <w:t>Index</w:t>
      </w:r>
      <w:proofErr w:type="spellEnd"/>
      <w:r w:rsidR="002B452A" w:rsidRPr="002B452A">
        <w:rPr>
          <w:rFonts w:ascii="Times New Roman" w:hAnsi="Times New Roman" w:cs="Times New Roman"/>
          <w:sz w:val="28"/>
          <w:szCs w:val="28"/>
          <w:lang w:val="uk-UA"/>
        </w:rPr>
        <w:t>), стан розвитку громадянського суспільства в Україні оцінено у 3,5 бала (за шкалою від</w:t>
      </w:r>
    </w:p>
    <w:p w:rsidR="000E123F" w:rsidRPr="002B452A" w:rsidRDefault="002B452A" w:rsidP="002B4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452A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2B452A">
        <w:rPr>
          <w:rFonts w:ascii="Times New Roman" w:hAnsi="Times New Roman" w:cs="Times New Roman"/>
          <w:sz w:val="28"/>
          <w:szCs w:val="28"/>
          <w:lang w:val="uk-UA"/>
        </w:rPr>
        <w:t>-найкраще</w:t>
      </w:r>
      <w:proofErr w:type="spellEnd"/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52A">
        <w:rPr>
          <w:rFonts w:ascii="Times New Roman" w:hAnsi="Times New Roman" w:cs="Times New Roman"/>
          <w:sz w:val="28"/>
          <w:szCs w:val="28"/>
        </w:rPr>
        <w:t xml:space="preserve"> до 7</w:t>
      </w:r>
      <w:proofErr w:type="spellStart"/>
      <w:r w:rsidRPr="002B452A">
        <w:rPr>
          <w:rFonts w:ascii="Times New Roman" w:hAnsi="Times New Roman" w:cs="Times New Roman"/>
          <w:sz w:val="28"/>
          <w:szCs w:val="28"/>
          <w:lang w:val="uk-UA"/>
        </w:rPr>
        <w:t>-найгірше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консолідації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2B452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найслабшими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складниками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сталості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ІГС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життєздатність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(4,2 бала) та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(3,8 бала), 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найсильнішими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адвокація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(2,8 бала) та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(3,3 бала).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Показово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lastRenderedPageBreak/>
        <w:t>показником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адвокації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ІГС  в Україні </w:t>
      </w:r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консолідованої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перехідне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та неконсолідоване3,</w:t>
      </w:r>
      <w:r w:rsidRPr="002B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досягло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5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452A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2A">
        <w:rPr>
          <w:rFonts w:ascii="Times New Roman" w:hAnsi="Times New Roman" w:cs="Times New Roman"/>
          <w:sz w:val="28"/>
          <w:szCs w:val="28"/>
        </w:rPr>
        <w:t>розвиненого</w:t>
      </w:r>
      <w:proofErr w:type="spellEnd"/>
      <w:r w:rsidRPr="002B452A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:rsidR="00A06AC9" w:rsidRDefault="000A2F6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основних причин вказаних проблем належить: низький рівень усвідомлення громадянами демократичних механізмів участі та самоорганізації у процесі вирішення місцевих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проблем; недосконалість місцев</w:t>
      </w:r>
      <w:r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 механізмів сприяння розвитку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громадянського суспільства; </w:t>
      </w:r>
      <w:proofErr w:type="spellStart"/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самоізольованість</w:t>
      </w:r>
      <w:proofErr w:type="spellEnd"/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слабка координованість та інституційна слабкість ІГС, відсутність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B452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конструктивного діалогу між владою та громадськістю.</w:t>
      </w:r>
    </w:p>
    <w:p w:rsidR="002309A3" w:rsidRPr="002309A3" w:rsidRDefault="002309A3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Ускладнює ситуацію закріплення за Запорізькою областю  статусу депресивного регіону  і   суттєве відставання  регіону в питаннях розвитку громадянського суспільства від інших областей. Це суттєво ускладнює  пошуки фінансових ресурсів  ІГС для здійснення своєї статутної діяльності, розширення мереж</w:t>
      </w:r>
      <w:r w:rsidR="001859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незалежних</w:t>
      </w:r>
      <w:r w:rsidR="001859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професійних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ІГС  і сприяє зниженню громадської активності.</w:t>
      </w:r>
    </w:p>
    <w:p w:rsidR="00A06AC9" w:rsidRPr="00267224" w:rsidRDefault="000A2F6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Інструментом вирішення проблем розвитку гро</w:t>
      </w:r>
      <w:r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мадянського суспільства у 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Запоріз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ькій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стане прийняття та реалізація обласної Програми сприяння розвитку громадянського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суспільства </w:t>
      </w:r>
      <w:r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Запоріз</w:t>
      </w:r>
      <w:r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ькій області на 201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>-201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роки (далі – Програма), яка дозволить закріпити на місцевому рівні механізми удосконалення процесу взаємодії органів влади та інститутів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30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громадянського суспільства.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Програма розширить сферу відповідальності місцевих органів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влади щодо сприяння розвитку громадянського суспільства, а також стане стимулом для його інститутів у налагодженні співпраці з органами влади і зміцнить відповідальність за результати цієї співпраці. Затвердження Програми підвищить значення громадської проблематики в поточній та довгостроковій діяльності органів виконавчої влади та місцевого само</w:t>
      </w:r>
      <w:r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врядування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сприятиме розвитку активної громадянської позиції.</w:t>
      </w:r>
    </w:p>
    <w:p w:rsidR="00A06AC9" w:rsidRPr="00267224" w:rsidRDefault="000A2F6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Причини виникнення проблем, які пропонується вирішити програмним методом, визначаються сучасними процесами у функціонуванні органів місцевої влади, внутрішнього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 ІГС, їх фінансової та інституційної спроможності, а також різними аспектами забезпечення взаємодії між ними.</w:t>
      </w:r>
    </w:p>
    <w:p w:rsidR="00740EC6" w:rsidRDefault="00740EC6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і реалізація Програми забезпечить: визначення короткострокових, середньострокових та довгострокових пріоритетів місцевої влади у питаннях, які стосуються розвитку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громадянського суспільства; консолідацію різних гілок місцевої влади та підвищення ефективності її зусиль у сфері формування громадянської культури суспільства; створення цілісної системи соціального партнерства між місцевими органами влади та ІГС регіону; підвищення ефективності використання бюджетних ресурсів, спрямованих на розвиток громадянського суспільства, що призведе до позитивного впливу та залучення зовнішніх ресурсів на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вирішення відповідних проблем.</w:t>
      </w:r>
    </w:p>
    <w:p w:rsidR="002B452A" w:rsidRPr="002B452A" w:rsidRDefault="002B452A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6AC9" w:rsidRPr="00267224" w:rsidRDefault="00A06AC9" w:rsidP="00740E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2672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lastRenderedPageBreak/>
        <w:t>РОЗДІЛ 3</w:t>
      </w:r>
    </w:p>
    <w:p w:rsidR="00A06AC9" w:rsidRPr="00267224" w:rsidRDefault="00A06AC9" w:rsidP="00740E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2672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ОБГРУНТУВАННЯ ШЛЯХІВ І ЗАСОБІВ РОЗВ’ЯЗАННЯ ПРОБЛЕМ,</w:t>
      </w:r>
    </w:p>
    <w:p w:rsidR="00A06AC9" w:rsidRPr="00FF2A24" w:rsidRDefault="00A06AC9" w:rsidP="00740E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2672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ДЖЕРЕЛА ФІНАНСУВАННЯ, СТРОКИ ВИКОНАННЯ ПРОГРАМИ</w:t>
      </w:r>
    </w:p>
    <w:p w:rsidR="00740EC6" w:rsidRPr="00740EC6" w:rsidRDefault="00740EC6" w:rsidP="00A06A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uk-UA"/>
        </w:rPr>
      </w:pPr>
    </w:p>
    <w:p w:rsidR="00A06AC9" w:rsidRPr="00FC79BA" w:rsidRDefault="00740EC6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      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Програма пер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едбачає проведення протягом 2013 - 2016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років заходів, спрямованих на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залучення ІГС та громадськості до процесів формування та реалізації державної і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регіональної політики, зокрема шляхом створення на обласному та місцевому рівнях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сприятливого правового середовища для діяльності ІГС через прийняття відповідних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нормативно-правових актів локального рівня; створення належної інфраструктури для такої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взаємодії через роботу Інформаційно-ресурсного центру; впровадження постійно діючої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інформаційно-просвітницької кампанії; вироблення прозорих механізмів підтримки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місцевими органами виконавчої влади та органами місцевого самоврядування </w:t>
      </w:r>
      <w:proofErr w:type="spellStart"/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суспільно-</w:t>
      </w:r>
      <w:proofErr w:type="spellEnd"/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корисної діяльності ІГС через впровадження механізму соціального замовлення; розширення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участі ІГС регіону у процесах вироблення та реалізації місцевими органами виконавчої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влади та органами місцевого самоврядування владних повноважень через розвиток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консультативно-дорадчих органів та різних форм самоорганізації населення; стимулювання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громадської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активності населення Запорізької області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впровадження форм заохочення</w:t>
      </w:r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ініціатив ІГС тощо.</w:t>
      </w:r>
    </w:p>
    <w:p w:rsidR="00A06AC9" w:rsidRPr="00FC79BA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Розпорядниками к</w:t>
      </w:r>
      <w:r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оштів Програми виступають Запоріз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ька обласна державна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адміністрація та управління з питань внутрішньої політики та зв’язків з громадськістю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AC9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обласної державної адміністрації.</w:t>
      </w:r>
    </w:p>
    <w:p w:rsidR="004C04D8" w:rsidRPr="00FC79BA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6AC9" w:rsidRPr="00FC79BA" w:rsidRDefault="002B452A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Фінансування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заходів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Програми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здійснюються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рахунок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коштів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обласного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бюджету на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загальну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суму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C04D8" w:rsidRPr="00FC79B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4420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,0 тис</w:t>
      </w:r>
      <w:proofErr w:type="gram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рн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Програма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6AC9" w:rsidRPr="00FC79BA">
        <w:rPr>
          <w:rFonts w:ascii="Times New Roman" w:hAnsi="Times New Roman" w:cs="Times New Roman"/>
          <w:b/>
          <w:bCs/>
          <w:strike/>
          <w:color w:val="000000"/>
          <w:sz w:val="28"/>
          <w:szCs w:val="28"/>
          <w:highlight w:val="yellow"/>
        </w:rPr>
        <w:t>не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передбачає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залучення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джерел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фінансування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06AC9" w:rsidRPr="00FC79BA" w:rsidRDefault="002B452A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конкретних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напрямів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коштів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буде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здійснюватись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</w:t>
      </w:r>
      <w:r w:rsid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ідставі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ремих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розпоряджень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Запоріз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ької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облдержадміністрації</w:t>
      </w:r>
      <w:proofErr w:type="spellEnd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06AC9" w:rsidRPr="00FC79BA" w:rsidRDefault="002B452A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Строк </w:t>
      </w:r>
      <w:proofErr w:type="spellStart"/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нання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Програми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чотири</w:t>
      </w:r>
      <w:proofErr w:type="spellEnd"/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роки (201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4C04D8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A06AC9"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роки).</w:t>
      </w:r>
    </w:p>
    <w:p w:rsidR="004C04D8" w:rsidRPr="00FC79BA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06AC9" w:rsidRPr="00267224" w:rsidRDefault="00A06AC9" w:rsidP="004C0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2672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РОЗДІЛ 4</w:t>
      </w:r>
    </w:p>
    <w:p w:rsidR="00A06AC9" w:rsidRPr="00FF2A24" w:rsidRDefault="00A06AC9" w:rsidP="004C0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2672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МЕТА ПРОГРАМИ</w:t>
      </w:r>
    </w:p>
    <w:p w:rsidR="004C04D8" w:rsidRPr="00FC79BA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A06AC9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FC79B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Метою Програми є створення сприятливих умов для подальшого розвитку громадянського суспільства у регіоні та вдосконалення співпраці місцевих органів виконавчої влади</w:t>
      </w:r>
      <w:r w:rsidR="004C04D8" w:rsidRPr="00FC79B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FC79B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та органів місцевого самоврядування з ІГС для спільного вирішення завдань суспільного</w:t>
      </w:r>
      <w:r w:rsidR="004C04D8" w:rsidRPr="00FC79B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FC79B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розвитку області та регіональної політики.</w:t>
      </w:r>
    </w:p>
    <w:p w:rsidR="004C04D8" w:rsidRPr="004C04D8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uk-UA"/>
        </w:rPr>
      </w:pPr>
    </w:p>
    <w:p w:rsidR="00A06AC9" w:rsidRPr="00FF2A24" w:rsidRDefault="00A06AC9" w:rsidP="004C0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РОЗДІЛ 5</w:t>
      </w:r>
    </w:p>
    <w:p w:rsidR="00A06AC9" w:rsidRPr="00FF2A24" w:rsidRDefault="00A06AC9" w:rsidP="004C0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ОСНОВНІ ЗАВДАННЯ ТА ЗАХОДИ РЕАЛІЗАЦІЇ ПРОГРАМИ</w:t>
      </w:r>
    </w:p>
    <w:p w:rsidR="004C04D8" w:rsidRPr="004C04D8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uk-UA"/>
        </w:rPr>
      </w:pPr>
    </w:p>
    <w:p w:rsidR="004C04D8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завданнями</w:t>
      </w:r>
      <w:proofErr w:type="spellEnd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є:</w:t>
      </w:r>
      <w:proofErr w:type="gramEnd"/>
    </w:p>
    <w:p w:rsidR="00A06AC9" w:rsidRPr="00FC79BA" w:rsidRDefault="00A06AC9" w:rsidP="00FC79B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створення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сприятливих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умов (</w:t>
      </w:r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) для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інститутів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громадянського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6AC9" w:rsidRPr="00FC79BA" w:rsidRDefault="00A06AC9" w:rsidP="00FC79B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співпраці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ІГС у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регіональної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6AC9" w:rsidRPr="00FC79BA" w:rsidRDefault="00A06AC9" w:rsidP="00FC79B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>ідтримка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ініціатив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ІГС для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регіональної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6AC9" w:rsidRPr="00FC79BA" w:rsidRDefault="00A06AC9" w:rsidP="00FC79B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>ідвищення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професійного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інституційної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спроможності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ІГС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формуванні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="004C04D8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79BA" w:rsidRPr="00FC79BA" w:rsidRDefault="00FC79BA" w:rsidP="00FC79BA">
      <w:pPr>
        <w:pStyle w:val="a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79BA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громадян, підвищення рівня довіри  до ІГС, укорінення громадської культури, суспільної практики </w:t>
      </w:r>
      <w:proofErr w:type="spellStart"/>
      <w:r w:rsidRPr="00FC79BA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FC79BA">
        <w:rPr>
          <w:rFonts w:ascii="Times New Roman" w:hAnsi="Times New Roman" w:cs="Times New Roman"/>
          <w:sz w:val="28"/>
          <w:szCs w:val="28"/>
          <w:lang w:val="uk-UA"/>
        </w:rPr>
        <w:t>, меценатства і благодійництва</w:t>
      </w:r>
      <w:r w:rsidRPr="00FC7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C04D8" w:rsidRPr="004C04D8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uk-UA"/>
        </w:rPr>
      </w:pPr>
    </w:p>
    <w:p w:rsidR="00A06AC9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наведен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одатку</w:t>
      </w:r>
      <w:proofErr w:type="spellEnd"/>
      <w:r w:rsid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1.</w:t>
      </w:r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C79BA" w:rsidRPr="00FC79B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4C04D8" w:rsidRPr="004C04D8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uk-UA"/>
        </w:rPr>
      </w:pPr>
    </w:p>
    <w:p w:rsidR="00A06AC9" w:rsidRPr="00FF2A24" w:rsidRDefault="00A06AC9" w:rsidP="00FC7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РОЗДІЛ 6</w:t>
      </w:r>
    </w:p>
    <w:p w:rsidR="00A06AC9" w:rsidRPr="00FF2A24" w:rsidRDefault="00A06AC9" w:rsidP="00FC7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ФІНАНСОВЕ ЗАБЕЗПЕЧЕННЯ ПРОГРАМИ</w:t>
      </w:r>
    </w:p>
    <w:p w:rsidR="004C04D8" w:rsidRPr="004C04D8" w:rsidRDefault="004C04D8" w:rsidP="00A06A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uk-UA"/>
        </w:rPr>
      </w:pPr>
    </w:p>
    <w:p w:rsidR="00A06AC9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="00FC79BA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9BA"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="00FC79BA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9BA" w:rsidRPr="00FC79B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FC79BA"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FC79BA" w:rsidRPr="00FC7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79BA" w:rsidRPr="00FC79BA">
        <w:rPr>
          <w:rFonts w:ascii="Times New Roman" w:hAnsi="Times New Roman" w:cs="Times New Roman"/>
          <w:sz w:val="28"/>
          <w:szCs w:val="28"/>
          <w:lang w:val="uk-UA"/>
        </w:rPr>
        <w:t>4420</w:t>
      </w:r>
      <w:r w:rsidRPr="00FC79BA">
        <w:rPr>
          <w:rFonts w:ascii="Times New Roman" w:hAnsi="Times New Roman" w:cs="Times New Roman"/>
          <w:color w:val="000000"/>
          <w:sz w:val="28"/>
          <w:szCs w:val="28"/>
        </w:rPr>
        <w:t>,0 тис</w:t>
      </w:r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>рн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6AC9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обласного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в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обсягах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рішеннями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обласно</w:t>
      </w:r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ади про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обласний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бюджет на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роки.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Бюджетні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 та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беруть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діють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межах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кошторисів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їхньої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основної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79BA" w:rsidRPr="00FC79BA" w:rsidRDefault="00FC79BA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асигнувань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заході</w:t>
      </w:r>
      <w:proofErr w:type="gramStart"/>
      <w:r w:rsidRPr="00FC79B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</w:p>
    <w:p w:rsidR="00A06AC9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ресурсне</w:t>
      </w:r>
      <w:proofErr w:type="spellEnd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FC79BA">
        <w:rPr>
          <w:rFonts w:ascii="Times New Roman" w:hAnsi="Times New Roman" w:cs="Times New Roman"/>
          <w:color w:val="000000"/>
          <w:sz w:val="28"/>
          <w:szCs w:val="28"/>
        </w:rPr>
        <w:t xml:space="preserve">) наведено у </w:t>
      </w:r>
      <w:r w:rsidR="00FC79BA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</w:t>
      </w:r>
      <w:proofErr w:type="spellStart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одатку</w:t>
      </w:r>
      <w:proofErr w:type="spellEnd"/>
      <w:r w:rsidRPr="00FC7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="00FC79BA" w:rsidRPr="00FC79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1.</w:t>
      </w:r>
    </w:p>
    <w:p w:rsidR="00A06AC9" w:rsidRPr="00FC79BA" w:rsidRDefault="00A06AC9" w:rsidP="00A06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A06AC9" w:rsidRPr="00FF2A24" w:rsidRDefault="00A06AC9" w:rsidP="00FC7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РОЗДІЛ 7</w:t>
      </w:r>
    </w:p>
    <w:p w:rsidR="00A06AC9" w:rsidRPr="00FF2A24" w:rsidRDefault="00A06AC9" w:rsidP="00FC7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ОЧІКУВАНІ РЕЗУЛЬТАТИ ВИКОНАННЯ ПРОГРАМИ</w:t>
      </w:r>
    </w:p>
    <w:p w:rsidR="00FC79BA" w:rsidRPr="00FC79BA" w:rsidRDefault="00FC79BA" w:rsidP="00FC79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uk-UA"/>
        </w:rPr>
      </w:pPr>
    </w:p>
    <w:p w:rsidR="00A06AC9" w:rsidRPr="002309A3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Реалізація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дозволить: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позитивно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впливати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створення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сприятливих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нормативно-правових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умов для</w:t>
      </w:r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діяльності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ІГС;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посилити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участь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населення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у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самоорганізації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активізувати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їхню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діяльність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у</w:t>
      </w:r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суспільно-значущій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роботі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залучити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інститути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громадянського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суспільства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до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вирішення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завдань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регіональної</w:t>
      </w:r>
      <w:proofErr w:type="spellEnd"/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політики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proofErr w:type="gram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</w:t>
      </w:r>
      <w:proofErr w:type="gram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ідвищити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якість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рішень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місцевих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органів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виконавчої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влади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органів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місцевого</w:t>
      </w:r>
      <w:proofErr w:type="spellEnd"/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сам</w:t>
      </w:r>
      <w:r w:rsidR="00FC79BA" w:rsidRPr="002309A3">
        <w:rPr>
          <w:rFonts w:ascii="TimesNewRomanPSMT" w:hAnsi="TimesNewRomanPSMT" w:cs="TimesNewRomanPSMT"/>
          <w:color w:val="000000"/>
          <w:sz w:val="28"/>
          <w:szCs w:val="28"/>
        </w:rPr>
        <w:t>оврядування</w:t>
      </w:r>
      <w:proofErr w:type="spellEnd"/>
      <w:r w:rsidR="00FC79BA"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FC79BA" w:rsidRPr="002309A3">
        <w:rPr>
          <w:rFonts w:ascii="TimesNewRomanPSMT" w:hAnsi="TimesNewRomanPSMT" w:cs="TimesNewRomanPSMT"/>
          <w:color w:val="000000"/>
          <w:sz w:val="28"/>
          <w:szCs w:val="28"/>
        </w:rPr>
        <w:t>з</w:t>
      </w:r>
      <w:proofErr w:type="spellEnd"/>
      <w:r w:rsidR="00FC79BA"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врахування</w:t>
      </w:r>
      <w:proofErr w:type="spellEnd"/>
      <w:r w:rsidR="00FC79BA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м </w:t>
      </w:r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інтересів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громадськості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посилити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</w:t>
      </w:r>
      <w:proofErr w:type="gram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івень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довіри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населення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до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місцевих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органів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виконавчої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влади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та</w:t>
      </w:r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ІГС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забезпечити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оптимізацію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бюджетних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витрат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суспільно-корисні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послуги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завдяки</w:t>
      </w:r>
      <w:proofErr w:type="spellEnd"/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залученню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додаткових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ресурсі</w:t>
      </w:r>
      <w:proofErr w:type="gram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spellEnd"/>
      <w:proofErr w:type="gram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збільшити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можливості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залучення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позабюджетних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надходжень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gram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реалізації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ІГС,</w:t>
      </w:r>
    </w:p>
    <w:p w:rsidR="00A06AC9" w:rsidRPr="002309A3" w:rsidRDefault="00A06AC9" w:rsidP="002309A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спільних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місцевими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органами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виконавчої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влади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, органами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місцевого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самоврядування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та</w:t>
      </w:r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самостійних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проектів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спрямованих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вирішення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соц</w:t>
      </w:r>
      <w:proofErr w:type="gram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іально-економічних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завдань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розвитку</w:t>
      </w:r>
      <w:proofErr w:type="spellEnd"/>
      <w:r w:rsidR="002309A3" w:rsidRPr="002309A3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2309A3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2309A3" w:rsidRPr="002309A3" w:rsidRDefault="002309A3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A06AC9" w:rsidRPr="00FF2A24" w:rsidRDefault="00A06AC9" w:rsidP="00190D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РОЗДІЛ 8</w:t>
      </w:r>
    </w:p>
    <w:p w:rsidR="00A06AC9" w:rsidRPr="00FF2A24" w:rsidRDefault="00A06AC9" w:rsidP="00FF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КООРДИНАЦІЯ, МОНІТОРИНГ ТА </w:t>
      </w:r>
      <w:proofErr w:type="gramStart"/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КОНТРОЛЬ ЗА</w:t>
      </w:r>
      <w:proofErr w:type="gramEnd"/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ХОДОМ ВИКОНАННЯ</w:t>
      </w:r>
      <w:r w:rsid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  </w:t>
      </w:r>
      <w:r w:rsidRPr="00FF2A24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ПРОГРАМИ</w:t>
      </w:r>
    </w:p>
    <w:p w:rsidR="00190DA1" w:rsidRPr="00190DA1" w:rsidRDefault="00190DA1" w:rsidP="00190D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uk-UA"/>
        </w:rPr>
      </w:pPr>
    </w:p>
    <w:p w:rsidR="00A06AC9" w:rsidRPr="00007112" w:rsidRDefault="00190DA1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Загальну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координацію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контроль за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виконанням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здійснює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обласна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держа</w:t>
      </w: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вна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адміністрація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обласна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ада.</w:t>
      </w:r>
    </w:p>
    <w:p w:rsidR="00A06AC9" w:rsidRPr="00267224" w:rsidRDefault="00190DA1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Поточну координацію та контроль здійснює управління з питань внутрішньої політики та зв’язків з громадськістю облдержадміністрації.</w:t>
      </w:r>
    </w:p>
    <w:p w:rsidR="00A06AC9" w:rsidRPr="00267224" w:rsidRDefault="00190DA1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Громадський супровід виконання Програми зді</w:t>
      </w:r>
      <w:r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йснює Громадська рада при </w:t>
      </w: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Запоріз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ькій обласній державній адміністрації – безп</w:t>
      </w:r>
      <w:r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осередньо та через її </w:t>
      </w: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профільні</w:t>
      </w:r>
      <w:r w:rsidR="00032A78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комітети</w:t>
      </w:r>
      <w:r w:rsidR="00032A78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, профільні ІГС.</w:t>
      </w:r>
    </w:p>
    <w:p w:rsidR="00A06AC9" w:rsidRPr="00267224" w:rsidRDefault="00032A78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Виконавці Програми інформацію про реалізацію заходів Програми надають управлінню з питань внутрішньої політики та зв’язків з громадськістю облдержадміністрації щорічно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до 25 грудня.</w:t>
      </w:r>
    </w:p>
    <w:p w:rsidR="00A06AC9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Управління з питань внутрішньої політики та зв’язків з громадськістю облдержадміністрації подає щороку до 1 лютого узагальнену інформацію про виконання Програми голові</w:t>
      </w: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r w:rsidR="00A06AC9" w:rsidRPr="00267224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облдержадміністрації та голові обласної Ради.</w:t>
      </w:r>
    </w:p>
    <w:p w:rsidR="00007112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A06AC9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 </w:t>
      </w:r>
      <w:proofErr w:type="spellStart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>Моніторинг</w:t>
      </w:r>
      <w:proofErr w:type="spellEnd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>виконання</w:t>
      </w:r>
      <w:proofErr w:type="spellEnd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>Програми</w:t>
      </w:r>
      <w:proofErr w:type="spellEnd"/>
      <w:r w:rsidR="00A06AC9" w:rsidRPr="00007112">
        <w:rPr>
          <w:rFonts w:ascii="TimesNewRomanPSMT" w:hAnsi="TimesNewRomanPSMT" w:cs="TimesNewRomanPSMT"/>
          <w:b/>
          <w:color w:val="000000"/>
          <w:sz w:val="28"/>
          <w:szCs w:val="28"/>
        </w:rPr>
        <w:t>.</w:t>
      </w:r>
    </w:p>
    <w:p w:rsidR="00A06AC9" w:rsidRPr="00007112" w:rsidRDefault="00A06AC9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Відповідальний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виконавець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раз на </w:t>
      </w: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івріччя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проводить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моніторинг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 такими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показниками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обсяг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бюджетних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коштів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витрачених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реалізацію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обсяг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позабюджетних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коштів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залучених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реалізації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відповідність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здійснюваних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заходів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запланованим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заходам;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фактичні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результативні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показники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ї</w:t>
      </w:r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х</w:t>
      </w:r>
      <w:proofErr w:type="spellEnd"/>
      <w:proofErr w:type="gram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відповідність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запланованим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результативним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показникам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івень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зацікавленості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задоволення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діяльністю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здійснюється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в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рамках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(у тому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числі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проектами ІГС, для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надавалася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підтримка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відповідно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до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цієї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),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боку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представників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цільових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груп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якісні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кількісні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дані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щодо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проведених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консультацій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громадськістю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громадських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експертиз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рекомендацій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ІГС,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були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враховані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місцевими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органами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виконавчої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влади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та органами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місцевого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самоврядування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кількість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</w:t>
      </w:r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ст</w:t>
      </w:r>
      <w:proofErr w:type="spellEnd"/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районного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значення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прийняли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Порядок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сприяння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проведення</w:t>
      </w:r>
      <w:proofErr w:type="spellEnd"/>
    </w:p>
    <w:p w:rsidR="00A06AC9" w:rsidRPr="00007112" w:rsidRDefault="00A06AC9" w:rsidP="00007112">
      <w:pPr>
        <w:pStyle w:val="a9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громадської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експертизи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діяльності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органу </w:t>
      </w: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ісцевого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самоврядування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Порядок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проведення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консультацій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громадськістю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По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рядок 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проведення громадських слухань</w:t>
      </w: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кількість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міст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районного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значення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де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сформовані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діють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ради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відповідно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до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рекомендацій</w:t>
      </w:r>
      <w:proofErr w:type="spellEnd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останови КМУ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3.11.2010 № 996;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кількість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громадян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охоплених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освітніми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інформаційно-просвітницькими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заходами,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фокус-групами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тощо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зокрема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у рамках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проектів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для </w:t>
      </w:r>
      <w:proofErr w:type="spellStart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>яких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007112" w:rsidRPr="00007112">
        <w:rPr>
          <w:rFonts w:ascii="TimesNewRomanPSMT" w:hAnsi="TimesNewRomanPSMT" w:cs="TimesNewRomanPSMT"/>
          <w:color w:val="000000"/>
          <w:sz w:val="28"/>
          <w:szCs w:val="28"/>
        </w:rPr>
        <w:t>надавалася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ідтримка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відповідно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до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цієї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кількість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проектів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ІГС,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спрямованих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вирішення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іоритетних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завдань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регіональної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політики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реалізуються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рахунок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коштів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обласного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бюджету та за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рахунок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інших</w:t>
      </w:r>
      <w:proofErr w:type="spellEnd"/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джерел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фінансування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обсяги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коштів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зовнішнього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фінансування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спрямованих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вирішення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місцевих</w:t>
      </w:r>
      <w:proofErr w:type="spellEnd"/>
    </w:p>
    <w:p w:rsidR="00A06AC9" w:rsidRPr="00007112" w:rsidRDefault="00A06AC9" w:rsidP="00007112">
      <w:pPr>
        <w:pStyle w:val="a9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проблем,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залучені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 результатами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спільних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заходів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ісцевих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органів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виконавчої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влади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органів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місцевого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самоврядування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ІГС;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динаміка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показників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участі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населення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у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діяльності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ІГС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довіри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населення</w:t>
      </w:r>
      <w:proofErr w:type="spellEnd"/>
    </w:p>
    <w:p w:rsidR="00A06AC9" w:rsidRPr="00007112" w:rsidRDefault="00A06AC9" w:rsidP="00007112">
      <w:pPr>
        <w:pStyle w:val="a9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області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до ІГС.</w:t>
      </w:r>
    </w:p>
    <w:p w:rsidR="00A06AC9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Проведення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моніторингу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і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щорічне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надання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узагальненої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звітності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про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хід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реалізації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громадськості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включає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вивчення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громадської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думки</w:t>
      </w: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у безпосередній формі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аналіз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пропозицій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і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зауважень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громадськості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тощо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06AC9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 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За </w:t>
      </w:r>
      <w:proofErr w:type="spellStart"/>
      <w:proofErr w:type="gram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</w:t>
      </w:r>
      <w:proofErr w:type="gram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ідсумками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моніторингу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відповідальний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виконавець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готує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звіт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включає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оцінку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реалізації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по </w:t>
      </w:r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кожному</w:t>
      </w:r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моніторингових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показників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аналіз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причин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та/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невиконання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06AC9" w:rsidRPr="00007112" w:rsidRDefault="00A06AC9" w:rsidP="0000711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пропозиції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щодо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внесення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змі</w:t>
      </w:r>
      <w:proofErr w:type="gram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н</w:t>
      </w:r>
      <w:proofErr w:type="spellEnd"/>
      <w:proofErr w:type="gram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до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та/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розробки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та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ухвалення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документів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007112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сприятимуть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ефективному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виконанню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Програми</w:t>
      </w:r>
      <w:proofErr w:type="spellEnd"/>
      <w:r w:rsidRPr="00007112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06AC9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2635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  </w:t>
      </w:r>
      <w:proofErr w:type="spell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Звіт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за </w:t>
      </w:r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результатами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моніторингу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оприлюднюється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раз на </w:t>
      </w:r>
      <w:proofErr w:type="spellStart"/>
      <w:proofErr w:type="gramStart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р</w:t>
      </w:r>
      <w:proofErr w:type="gram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>ік</w:t>
      </w:r>
      <w:proofErr w:type="spellEnd"/>
      <w:r w:rsidR="00A06AC9" w:rsidRPr="000071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на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офіційному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веб-сайті</w:t>
      </w:r>
      <w:proofErr w:type="spellEnd"/>
      <w:r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 </w:t>
      </w:r>
      <w:proofErr w:type="spellStart"/>
      <w:r w:rsidRPr="00007112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>Запоріз</w:t>
      </w:r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ької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обласної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державної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 xml:space="preserve"> </w:t>
      </w:r>
      <w:proofErr w:type="spellStart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адміністрації</w:t>
      </w:r>
      <w:proofErr w:type="spellEnd"/>
      <w:r w:rsidR="00A06AC9" w:rsidRPr="00007112">
        <w:rPr>
          <w:rFonts w:ascii="TimesNewRomanPSMT" w:hAnsi="TimesNewRomanPSMT" w:cs="TimesNewRomanPSMT"/>
          <w:color w:val="052635"/>
          <w:sz w:val="28"/>
          <w:szCs w:val="28"/>
        </w:rPr>
        <w:t>.</w:t>
      </w:r>
    </w:p>
    <w:p w:rsidR="00A06AC9" w:rsidRPr="00007112" w:rsidRDefault="00007112" w:rsidP="00A06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2635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    </w:t>
      </w:r>
      <w:r w:rsidR="00A06AC9" w:rsidRPr="00267224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За результатами моніторингу відповідальний виконавець Програми раз на рік </w:t>
      </w:r>
      <w:r w:rsidR="00FF2A24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 </w:t>
      </w:r>
      <w:r w:rsidR="00A06AC9" w:rsidRPr="00007112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>до 25</w:t>
      </w:r>
      <w:r w:rsidRPr="00007112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 </w:t>
      </w:r>
      <w:r w:rsidR="00A06AC9" w:rsidRPr="00007112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грудня 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забезпечує громадське обговорення результатів виконання Програми та підготовку і</w:t>
      </w:r>
      <w:r w:rsidRPr="00007112">
        <w:rPr>
          <w:rFonts w:ascii="TimesNewRomanPSMT" w:hAnsi="TimesNewRomanPSMT" w:cs="TimesNewRomanPSMT"/>
          <w:color w:val="052635"/>
          <w:sz w:val="28"/>
          <w:szCs w:val="28"/>
          <w:lang w:val="uk-UA"/>
        </w:rPr>
        <w:t xml:space="preserve"> </w:t>
      </w:r>
      <w:r w:rsidR="00A06AC9" w:rsidRPr="00007112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затвердження щорічного плану заходів з реалізації Програми з урахуванням підсумків обговорення.</w:t>
      </w:r>
    </w:p>
    <w:p w:rsidR="004E035B" w:rsidRPr="00007112" w:rsidRDefault="004E035B" w:rsidP="000071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D156D2" w:rsidRPr="00007112" w:rsidRDefault="00D156D2" w:rsidP="00D156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56D2" w:rsidRPr="00007112" w:rsidRDefault="00D156D2" w:rsidP="00D156D2">
      <w:pPr>
        <w:spacing w:line="240" w:lineRule="auto"/>
        <w:rPr>
          <w:rFonts w:ascii="Bookman Old Style" w:hAnsi="Bookman Old Style"/>
          <w:sz w:val="28"/>
          <w:szCs w:val="28"/>
          <w:lang w:val="uk-UA"/>
        </w:rPr>
      </w:pPr>
    </w:p>
    <w:p w:rsidR="00C956BF" w:rsidRPr="00007112" w:rsidRDefault="00C956BF" w:rsidP="00C956BF">
      <w:pPr>
        <w:spacing w:line="240" w:lineRule="auto"/>
        <w:rPr>
          <w:rFonts w:ascii="Bookman Old Style" w:hAnsi="Bookman Old Style"/>
          <w:sz w:val="28"/>
          <w:szCs w:val="28"/>
          <w:lang w:val="uk-UA"/>
        </w:rPr>
      </w:pPr>
    </w:p>
    <w:sectPr w:rsidR="00C956BF" w:rsidRPr="00007112" w:rsidSect="0061126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21" w:rsidRDefault="00582A21" w:rsidP="00C956BF">
      <w:pPr>
        <w:spacing w:after="0" w:line="240" w:lineRule="auto"/>
      </w:pPr>
      <w:r>
        <w:separator/>
      </w:r>
    </w:p>
  </w:endnote>
  <w:endnote w:type="continuationSeparator" w:id="0">
    <w:p w:rsidR="00582A21" w:rsidRDefault="00582A21" w:rsidP="00C9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8362"/>
      <w:docPartObj>
        <w:docPartGallery w:val="Page Numbers (Bottom of Page)"/>
        <w:docPartUnique/>
      </w:docPartObj>
    </w:sdtPr>
    <w:sdtContent>
      <w:p w:rsidR="00ED2B3B" w:rsidRDefault="00AB79B2">
        <w:pPr>
          <w:pStyle w:val="a7"/>
          <w:jc w:val="right"/>
        </w:pPr>
        <w:fldSimple w:instr=" PAGE   \* MERGEFORMAT ">
          <w:r w:rsidR="00267224">
            <w:rPr>
              <w:noProof/>
            </w:rPr>
            <w:t>1</w:t>
          </w:r>
        </w:fldSimple>
      </w:p>
    </w:sdtContent>
  </w:sdt>
  <w:p w:rsidR="00ED2B3B" w:rsidRDefault="00ED2B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21" w:rsidRDefault="00582A21" w:rsidP="00C956BF">
      <w:pPr>
        <w:spacing w:after="0" w:line="240" w:lineRule="auto"/>
      </w:pPr>
      <w:r>
        <w:separator/>
      </w:r>
    </w:p>
  </w:footnote>
  <w:footnote w:type="continuationSeparator" w:id="0">
    <w:p w:rsidR="00582A21" w:rsidRDefault="00582A21" w:rsidP="00C9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3B" w:rsidRDefault="00AB79B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130" o:spid="_x0000_s2051" type="#_x0000_t75" style="position:absolute;margin-left:0;margin-top:0;width:467.55pt;height:466.05pt;z-index:-251657216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3B" w:rsidRDefault="00AB79B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131" o:spid="_x0000_s2052" type="#_x0000_t75" style="position:absolute;margin-left:0;margin-top:0;width:467.55pt;height:466.05pt;z-index:-251656192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3B" w:rsidRDefault="00AB79B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129" o:spid="_x0000_s2050" type="#_x0000_t75" style="position:absolute;margin-left:0;margin-top:0;width:467.55pt;height:466.05pt;z-index:-251658240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2200"/>
    <w:multiLevelType w:val="hybridMultilevel"/>
    <w:tmpl w:val="27DEB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E3113"/>
    <w:multiLevelType w:val="hybridMultilevel"/>
    <w:tmpl w:val="BDAC2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36CEF"/>
    <w:multiLevelType w:val="hybridMultilevel"/>
    <w:tmpl w:val="CC14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zUl+hjmqu+vC2e5NfXK8by5rb4=" w:salt="pjqG5+yOP+zeDx/UE6IbJw==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2C70"/>
    <w:rsid w:val="00001B5F"/>
    <w:rsid w:val="00005CBC"/>
    <w:rsid w:val="00006580"/>
    <w:rsid w:val="0000658E"/>
    <w:rsid w:val="00007112"/>
    <w:rsid w:val="00014E06"/>
    <w:rsid w:val="00015589"/>
    <w:rsid w:val="00025F79"/>
    <w:rsid w:val="000265C4"/>
    <w:rsid w:val="00026F55"/>
    <w:rsid w:val="00031685"/>
    <w:rsid w:val="000318F7"/>
    <w:rsid w:val="000321CB"/>
    <w:rsid w:val="00032A78"/>
    <w:rsid w:val="000350BD"/>
    <w:rsid w:val="0003522E"/>
    <w:rsid w:val="000424B8"/>
    <w:rsid w:val="000437A3"/>
    <w:rsid w:val="00043981"/>
    <w:rsid w:val="00043CEA"/>
    <w:rsid w:val="0005085D"/>
    <w:rsid w:val="00050F33"/>
    <w:rsid w:val="000549B5"/>
    <w:rsid w:val="00054A16"/>
    <w:rsid w:val="000563C4"/>
    <w:rsid w:val="00057641"/>
    <w:rsid w:val="000578BE"/>
    <w:rsid w:val="00057D04"/>
    <w:rsid w:val="000619F0"/>
    <w:rsid w:val="0006290A"/>
    <w:rsid w:val="00064C72"/>
    <w:rsid w:val="00065245"/>
    <w:rsid w:val="00070AA0"/>
    <w:rsid w:val="0007146B"/>
    <w:rsid w:val="000718F1"/>
    <w:rsid w:val="000813B1"/>
    <w:rsid w:val="00081BD5"/>
    <w:rsid w:val="00081E27"/>
    <w:rsid w:val="00084312"/>
    <w:rsid w:val="00084331"/>
    <w:rsid w:val="0008560A"/>
    <w:rsid w:val="00085686"/>
    <w:rsid w:val="0008628A"/>
    <w:rsid w:val="00087DA0"/>
    <w:rsid w:val="000929B0"/>
    <w:rsid w:val="00093560"/>
    <w:rsid w:val="00095FC7"/>
    <w:rsid w:val="00097306"/>
    <w:rsid w:val="000A118F"/>
    <w:rsid w:val="000A1809"/>
    <w:rsid w:val="000A2F68"/>
    <w:rsid w:val="000A30C0"/>
    <w:rsid w:val="000B287B"/>
    <w:rsid w:val="000B5922"/>
    <w:rsid w:val="000B7BB5"/>
    <w:rsid w:val="000C0C3C"/>
    <w:rsid w:val="000C1280"/>
    <w:rsid w:val="000C3FBD"/>
    <w:rsid w:val="000C4302"/>
    <w:rsid w:val="000C4C59"/>
    <w:rsid w:val="000C54EE"/>
    <w:rsid w:val="000C5FA1"/>
    <w:rsid w:val="000D0F85"/>
    <w:rsid w:val="000D1836"/>
    <w:rsid w:val="000D21C3"/>
    <w:rsid w:val="000D3641"/>
    <w:rsid w:val="000D4993"/>
    <w:rsid w:val="000E123F"/>
    <w:rsid w:val="000E4488"/>
    <w:rsid w:val="000F26D9"/>
    <w:rsid w:val="000F26E0"/>
    <w:rsid w:val="000F3377"/>
    <w:rsid w:val="000F3A3D"/>
    <w:rsid w:val="000F4455"/>
    <w:rsid w:val="000F6C3D"/>
    <w:rsid w:val="000F729E"/>
    <w:rsid w:val="001026F6"/>
    <w:rsid w:val="001033CA"/>
    <w:rsid w:val="00104786"/>
    <w:rsid w:val="001112DF"/>
    <w:rsid w:val="001124FA"/>
    <w:rsid w:val="00112733"/>
    <w:rsid w:val="0011478E"/>
    <w:rsid w:val="00116689"/>
    <w:rsid w:val="001202FF"/>
    <w:rsid w:val="001203ED"/>
    <w:rsid w:val="00120B0F"/>
    <w:rsid w:val="00121D15"/>
    <w:rsid w:val="00121F58"/>
    <w:rsid w:val="0012492F"/>
    <w:rsid w:val="00125B5D"/>
    <w:rsid w:val="001269D3"/>
    <w:rsid w:val="0012704B"/>
    <w:rsid w:val="00127064"/>
    <w:rsid w:val="00127CB8"/>
    <w:rsid w:val="001311DC"/>
    <w:rsid w:val="0013264F"/>
    <w:rsid w:val="0013441D"/>
    <w:rsid w:val="00134BFA"/>
    <w:rsid w:val="00135784"/>
    <w:rsid w:val="00135D88"/>
    <w:rsid w:val="00136810"/>
    <w:rsid w:val="00137267"/>
    <w:rsid w:val="00137841"/>
    <w:rsid w:val="0014122C"/>
    <w:rsid w:val="00142487"/>
    <w:rsid w:val="001441E0"/>
    <w:rsid w:val="001520DF"/>
    <w:rsid w:val="001538A8"/>
    <w:rsid w:val="00154228"/>
    <w:rsid w:val="00154CA8"/>
    <w:rsid w:val="00156A9D"/>
    <w:rsid w:val="00157067"/>
    <w:rsid w:val="00161737"/>
    <w:rsid w:val="00162AD7"/>
    <w:rsid w:val="00165D7D"/>
    <w:rsid w:val="001664A2"/>
    <w:rsid w:val="00167AD7"/>
    <w:rsid w:val="00171627"/>
    <w:rsid w:val="00173B09"/>
    <w:rsid w:val="0018067B"/>
    <w:rsid w:val="00181F28"/>
    <w:rsid w:val="00185922"/>
    <w:rsid w:val="00185924"/>
    <w:rsid w:val="00186E81"/>
    <w:rsid w:val="00187E5A"/>
    <w:rsid w:val="00187FDB"/>
    <w:rsid w:val="00190DA1"/>
    <w:rsid w:val="00190F27"/>
    <w:rsid w:val="00193D00"/>
    <w:rsid w:val="0019565D"/>
    <w:rsid w:val="00195985"/>
    <w:rsid w:val="00196CCF"/>
    <w:rsid w:val="001A6200"/>
    <w:rsid w:val="001A66CE"/>
    <w:rsid w:val="001B2BD5"/>
    <w:rsid w:val="001B59A7"/>
    <w:rsid w:val="001B7338"/>
    <w:rsid w:val="001C00C4"/>
    <w:rsid w:val="001C09D3"/>
    <w:rsid w:val="001C19D5"/>
    <w:rsid w:val="001C4224"/>
    <w:rsid w:val="001C4529"/>
    <w:rsid w:val="001D024E"/>
    <w:rsid w:val="001D5E22"/>
    <w:rsid w:val="001D6BC0"/>
    <w:rsid w:val="001D7B4C"/>
    <w:rsid w:val="001E0729"/>
    <w:rsid w:val="001E1E0F"/>
    <w:rsid w:val="001E25A7"/>
    <w:rsid w:val="001E26FA"/>
    <w:rsid w:val="001E41B6"/>
    <w:rsid w:val="001E5FED"/>
    <w:rsid w:val="001F146E"/>
    <w:rsid w:val="001F1626"/>
    <w:rsid w:val="002005AB"/>
    <w:rsid w:val="002020DC"/>
    <w:rsid w:val="002033C8"/>
    <w:rsid w:val="00205F64"/>
    <w:rsid w:val="00206BDB"/>
    <w:rsid w:val="0021502B"/>
    <w:rsid w:val="002221CE"/>
    <w:rsid w:val="00222784"/>
    <w:rsid w:val="002230B7"/>
    <w:rsid w:val="0022381A"/>
    <w:rsid w:val="00224237"/>
    <w:rsid w:val="002245A1"/>
    <w:rsid w:val="002279DD"/>
    <w:rsid w:val="002309A3"/>
    <w:rsid w:val="00231C00"/>
    <w:rsid w:val="00231E15"/>
    <w:rsid w:val="002320D4"/>
    <w:rsid w:val="00237778"/>
    <w:rsid w:val="00237BD4"/>
    <w:rsid w:val="002456F6"/>
    <w:rsid w:val="00250A04"/>
    <w:rsid w:val="002520E8"/>
    <w:rsid w:val="002528A2"/>
    <w:rsid w:val="002528A7"/>
    <w:rsid w:val="002606EA"/>
    <w:rsid w:val="00260E2C"/>
    <w:rsid w:val="00261255"/>
    <w:rsid w:val="00267224"/>
    <w:rsid w:val="00272862"/>
    <w:rsid w:val="00272E90"/>
    <w:rsid w:val="00282FC3"/>
    <w:rsid w:val="00283568"/>
    <w:rsid w:val="002868E1"/>
    <w:rsid w:val="00290196"/>
    <w:rsid w:val="00295C72"/>
    <w:rsid w:val="00296243"/>
    <w:rsid w:val="00296EB7"/>
    <w:rsid w:val="002A37D8"/>
    <w:rsid w:val="002A3A8F"/>
    <w:rsid w:val="002A7516"/>
    <w:rsid w:val="002B08EC"/>
    <w:rsid w:val="002B3047"/>
    <w:rsid w:val="002B4236"/>
    <w:rsid w:val="002B452A"/>
    <w:rsid w:val="002B4DBD"/>
    <w:rsid w:val="002B6B49"/>
    <w:rsid w:val="002C1E5F"/>
    <w:rsid w:val="002C1FE1"/>
    <w:rsid w:val="002C37C3"/>
    <w:rsid w:val="002C37D7"/>
    <w:rsid w:val="002C4C6A"/>
    <w:rsid w:val="002C6152"/>
    <w:rsid w:val="002D5D66"/>
    <w:rsid w:val="002D76AB"/>
    <w:rsid w:val="002E021A"/>
    <w:rsid w:val="002E08B3"/>
    <w:rsid w:val="002E4F9D"/>
    <w:rsid w:val="002E533E"/>
    <w:rsid w:val="002E68D9"/>
    <w:rsid w:val="002E729B"/>
    <w:rsid w:val="002F2FCD"/>
    <w:rsid w:val="002F38BF"/>
    <w:rsid w:val="002F3EE4"/>
    <w:rsid w:val="00300021"/>
    <w:rsid w:val="003013BE"/>
    <w:rsid w:val="003034B7"/>
    <w:rsid w:val="00305289"/>
    <w:rsid w:val="003064B5"/>
    <w:rsid w:val="00307F09"/>
    <w:rsid w:val="00314630"/>
    <w:rsid w:val="00316A3E"/>
    <w:rsid w:val="00320A09"/>
    <w:rsid w:val="00320ABF"/>
    <w:rsid w:val="00320D09"/>
    <w:rsid w:val="003230FC"/>
    <w:rsid w:val="00327631"/>
    <w:rsid w:val="0033086D"/>
    <w:rsid w:val="0033097A"/>
    <w:rsid w:val="003341DE"/>
    <w:rsid w:val="0033514C"/>
    <w:rsid w:val="00336BFA"/>
    <w:rsid w:val="003374FF"/>
    <w:rsid w:val="0034027B"/>
    <w:rsid w:val="00341404"/>
    <w:rsid w:val="00342A66"/>
    <w:rsid w:val="00342C9F"/>
    <w:rsid w:val="003436F9"/>
    <w:rsid w:val="00344DD3"/>
    <w:rsid w:val="00345A7E"/>
    <w:rsid w:val="0035454A"/>
    <w:rsid w:val="00354F0D"/>
    <w:rsid w:val="00356354"/>
    <w:rsid w:val="003614C0"/>
    <w:rsid w:val="0036367D"/>
    <w:rsid w:val="00365985"/>
    <w:rsid w:val="00365D88"/>
    <w:rsid w:val="0036792C"/>
    <w:rsid w:val="00371951"/>
    <w:rsid w:val="003768C9"/>
    <w:rsid w:val="00377DE1"/>
    <w:rsid w:val="00377E64"/>
    <w:rsid w:val="00380E1B"/>
    <w:rsid w:val="003826BD"/>
    <w:rsid w:val="00384216"/>
    <w:rsid w:val="00384A69"/>
    <w:rsid w:val="00385311"/>
    <w:rsid w:val="003902D4"/>
    <w:rsid w:val="00390513"/>
    <w:rsid w:val="0039384C"/>
    <w:rsid w:val="00395D82"/>
    <w:rsid w:val="003A0255"/>
    <w:rsid w:val="003A066E"/>
    <w:rsid w:val="003A2FC6"/>
    <w:rsid w:val="003A450D"/>
    <w:rsid w:val="003B1715"/>
    <w:rsid w:val="003B21A3"/>
    <w:rsid w:val="003B2B84"/>
    <w:rsid w:val="003C15E0"/>
    <w:rsid w:val="003C1B91"/>
    <w:rsid w:val="003C2349"/>
    <w:rsid w:val="003C23F7"/>
    <w:rsid w:val="003C2A95"/>
    <w:rsid w:val="003C5695"/>
    <w:rsid w:val="003C5DCD"/>
    <w:rsid w:val="003C6710"/>
    <w:rsid w:val="003C6B8F"/>
    <w:rsid w:val="003D27D8"/>
    <w:rsid w:val="003D5C84"/>
    <w:rsid w:val="003D68FE"/>
    <w:rsid w:val="003E176A"/>
    <w:rsid w:val="003E1D1E"/>
    <w:rsid w:val="003E2C70"/>
    <w:rsid w:val="003E47BD"/>
    <w:rsid w:val="003E583E"/>
    <w:rsid w:val="003E60FC"/>
    <w:rsid w:val="003F3B21"/>
    <w:rsid w:val="003F3E8F"/>
    <w:rsid w:val="003F4725"/>
    <w:rsid w:val="003F6094"/>
    <w:rsid w:val="003F7419"/>
    <w:rsid w:val="0040432E"/>
    <w:rsid w:val="00404851"/>
    <w:rsid w:val="004068BB"/>
    <w:rsid w:val="0040699B"/>
    <w:rsid w:val="004077A3"/>
    <w:rsid w:val="00415FCB"/>
    <w:rsid w:val="004200CF"/>
    <w:rsid w:val="00421832"/>
    <w:rsid w:val="0042215C"/>
    <w:rsid w:val="00424321"/>
    <w:rsid w:val="00425331"/>
    <w:rsid w:val="00435EC6"/>
    <w:rsid w:val="00437021"/>
    <w:rsid w:val="004416DF"/>
    <w:rsid w:val="0044383D"/>
    <w:rsid w:val="00444678"/>
    <w:rsid w:val="00444D76"/>
    <w:rsid w:val="004454D9"/>
    <w:rsid w:val="004457B8"/>
    <w:rsid w:val="004475EB"/>
    <w:rsid w:val="00447C86"/>
    <w:rsid w:val="00451BEC"/>
    <w:rsid w:val="00454F09"/>
    <w:rsid w:val="0046366B"/>
    <w:rsid w:val="004644C6"/>
    <w:rsid w:val="00465119"/>
    <w:rsid w:val="00466CDC"/>
    <w:rsid w:val="0046725B"/>
    <w:rsid w:val="00472D98"/>
    <w:rsid w:val="00472F32"/>
    <w:rsid w:val="00474F01"/>
    <w:rsid w:val="00480859"/>
    <w:rsid w:val="00480E12"/>
    <w:rsid w:val="0048102E"/>
    <w:rsid w:val="004812DC"/>
    <w:rsid w:val="004821A7"/>
    <w:rsid w:val="004829B4"/>
    <w:rsid w:val="00483287"/>
    <w:rsid w:val="00483C36"/>
    <w:rsid w:val="004845F0"/>
    <w:rsid w:val="00484898"/>
    <w:rsid w:val="00486549"/>
    <w:rsid w:val="00491CBE"/>
    <w:rsid w:val="00493876"/>
    <w:rsid w:val="004A07C6"/>
    <w:rsid w:val="004A32E6"/>
    <w:rsid w:val="004A3400"/>
    <w:rsid w:val="004A4FAA"/>
    <w:rsid w:val="004A515B"/>
    <w:rsid w:val="004A5A1F"/>
    <w:rsid w:val="004B2C21"/>
    <w:rsid w:val="004B2D4B"/>
    <w:rsid w:val="004B2F94"/>
    <w:rsid w:val="004B4787"/>
    <w:rsid w:val="004B5A03"/>
    <w:rsid w:val="004B7216"/>
    <w:rsid w:val="004C04D8"/>
    <w:rsid w:val="004D22B3"/>
    <w:rsid w:val="004D5FC9"/>
    <w:rsid w:val="004E035B"/>
    <w:rsid w:val="004E1866"/>
    <w:rsid w:val="004E1F4E"/>
    <w:rsid w:val="004E2D64"/>
    <w:rsid w:val="004E6892"/>
    <w:rsid w:val="004E7A0F"/>
    <w:rsid w:val="004F0310"/>
    <w:rsid w:val="004F1107"/>
    <w:rsid w:val="004F41FF"/>
    <w:rsid w:val="004F4655"/>
    <w:rsid w:val="004F4C0C"/>
    <w:rsid w:val="004F6887"/>
    <w:rsid w:val="004F7DE0"/>
    <w:rsid w:val="00501834"/>
    <w:rsid w:val="00503078"/>
    <w:rsid w:val="0050404D"/>
    <w:rsid w:val="00504803"/>
    <w:rsid w:val="00511363"/>
    <w:rsid w:val="005130C8"/>
    <w:rsid w:val="00515E5E"/>
    <w:rsid w:val="00523CF7"/>
    <w:rsid w:val="00523DC8"/>
    <w:rsid w:val="00524871"/>
    <w:rsid w:val="0052590E"/>
    <w:rsid w:val="005273CD"/>
    <w:rsid w:val="005273EB"/>
    <w:rsid w:val="00527AE0"/>
    <w:rsid w:val="00527BBD"/>
    <w:rsid w:val="00530BC4"/>
    <w:rsid w:val="00532338"/>
    <w:rsid w:val="00533FA1"/>
    <w:rsid w:val="0053482B"/>
    <w:rsid w:val="00536616"/>
    <w:rsid w:val="00541158"/>
    <w:rsid w:val="00541FF6"/>
    <w:rsid w:val="005422C7"/>
    <w:rsid w:val="00544B5A"/>
    <w:rsid w:val="00544EB1"/>
    <w:rsid w:val="00544EF0"/>
    <w:rsid w:val="00551688"/>
    <w:rsid w:val="00551C5D"/>
    <w:rsid w:val="0055322C"/>
    <w:rsid w:val="00553C2D"/>
    <w:rsid w:val="0055440C"/>
    <w:rsid w:val="005559BD"/>
    <w:rsid w:val="00556B9A"/>
    <w:rsid w:val="00556C72"/>
    <w:rsid w:val="005574BB"/>
    <w:rsid w:val="00561D23"/>
    <w:rsid w:val="00562154"/>
    <w:rsid w:val="0056310D"/>
    <w:rsid w:val="00563203"/>
    <w:rsid w:val="005648C5"/>
    <w:rsid w:val="00565067"/>
    <w:rsid w:val="005659C7"/>
    <w:rsid w:val="0056663B"/>
    <w:rsid w:val="00571CC0"/>
    <w:rsid w:val="00571D93"/>
    <w:rsid w:val="00572374"/>
    <w:rsid w:val="00573103"/>
    <w:rsid w:val="00577C63"/>
    <w:rsid w:val="005801E4"/>
    <w:rsid w:val="00581297"/>
    <w:rsid w:val="00582A21"/>
    <w:rsid w:val="0059027E"/>
    <w:rsid w:val="00590746"/>
    <w:rsid w:val="0059195D"/>
    <w:rsid w:val="0059263F"/>
    <w:rsid w:val="0059364E"/>
    <w:rsid w:val="005940EB"/>
    <w:rsid w:val="00594655"/>
    <w:rsid w:val="00594796"/>
    <w:rsid w:val="005973CF"/>
    <w:rsid w:val="00597451"/>
    <w:rsid w:val="00597D35"/>
    <w:rsid w:val="005A0EDD"/>
    <w:rsid w:val="005A4F5F"/>
    <w:rsid w:val="005A67C6"/>
    <w:rsid w:val="005A6B6C"/>
    <w:rsid w:val="005B0676"/>
    <w:rsid w:val="005B2420"/>
    <w:rsid w:val="005B2B9E"/>
    <w:rsid w:val="005B31FE"/>
    <w:rsid w:val="005B3719"/>
    <w:rsid w:val="005B3EE9"/>
    <w:rsid w:val="005B42B4"/>
    <w:rsid w:val="005B5D75"/>
    <w:rsid w:val="005B68FB"/>
    <w:rsid w:val="005C2CE9"/>
    <w:rsid w:val="005C56C5"/>
    <w:rsid w:val="005D68EA"/>
    <w:rsid w:val="005D6DEE"/>
    <w:rsid w:val="005D6E2D"/>
    <w:rsid w:val="005D7224"/>
    <w:rsid w:val="005E12E4"/>
    <w:rsid w:val="005E193C"/>
    <w:rsid w:val="005E4BBE"/>
    <w:rsid w:val="005E4BE2"/>
    <w:rsid w:val="005E6CDC"/>
    <w:rsid w:val="005E6DD5"/>
    <w:rsid w:val="005E6EC0"/>
    <w:rsid w:val="005E6EDB"/>
    <w:rsid w:val="005F16AC"/>
    <w:rsid w:val="005F2373"/>
    <w:rsid w:val="005F241B"/>
    <w:rsid w:val="005F2431"/>
    <w:rsid w:val="005F250B"/>
    <w:rsid w:val="005F278A"/>
    <w:rsid w:val="005F34D7"/>
    <w:rsid w:val="005F5415"/>
    <w:rsid w:val="00602CCF"/>
    <w:rsid w:val="006037F3"/>
    <w:rsid w:val="00606A76"/>
    <w:rsid w:val="0060795F"/>
    <w:rsid w:val="00607AA9"/>
    <w:rsid w:val="00607E38"/>
    <w:rsid w:val="00607F87"/>
    <w:rsid w:val="00611262"/>
    <w:rsid w:val="0061244A"/>
    <w:rsid w:val="0061367A"/>
    <w:rsid w:val="00614176"/>
    <w:rsid w:val="006172B2"/>
    <w:rsid w:val="00617D71"/>
    <w:rsid w:val="00617DBF"/>
    <w:rsid w:val="00620E11"/>
    <w:rsid w:val="00624634"/>
    <w:rsid w:val="00631ED8"/>
    <w:rsid w:val="0063300C"/>
    <w:rsid w:val="00635375"/>
    <w:rsid w:val="0063666E"/>
    <w:rsid w:val="00636C64"/>
    <w:rsid w:val="00637D11"/>
    <w:rsid w:val="0064100F"/>
    <w:rsid w:val="00641793"/>
    <w:rsid w:val="006435E0"/>
    <w:rsid w:val="00643CFE"/>
    <w:rsid w:val="006441CD"/>
    <w:rsid w:val="006447EC"/>
    <w:rsid w:val="0064493E"/>
    <w:rsid w:val="00644BFF"/>
    <w:rsid w:val="00644F46"/>
    <w:rsid w:val="00655BB0"/>
    <w:rsid w:val="00655FA1"/>
    <w:rsid w:val="006560D0"/>
    <w:rsid w:val="006564FC"/>
    <w:rsid w:val="0066006E"/>
    <w:rsid w:val="00661D7D"/>
    <w:rsid w:val="0066632F"/>
    <w:rsid w:val="006679D2"/>
    <w:rsid w:val="006712D2"/>
    <w:rsid w:val="00672A83"/>
    <w:rsid w:val="00673792"/>
    <w:rsid w:val="00677020"/>
    <w:rsid w:val="00681FAC"/>
    <w:rsid w:val="00682E24"/>
    <w:rsid w:val="00683FCB"/>
    <w:rsid w:val="00684D7C"/>
    <w:rsid w:val="0069025D"/>
    <w:rsid w:val="0069080D"/>
    <w:rsid w:val="00696219"/>
    <w:rsid w:val="00697AF2"/>
    <w:rsid w:val="006A3E63"/>
    <w:rsid w:val="006A491F"/>
    <w:rsid w:val="006A63A0"/>
    <w:rsid w:val="006B37C6"/>
    <w:rsid w:val="006B7E37"/>
    <w:rsid w:val="006C34AD"/>
    <w:rsid w:val="006C36CF"/>
    <w:rsid w:val="006D126A"/>
    <w:rsid w:val="006D177E"/>
    <w:rsid w:val="006D75F5"/>
    <w:rsid w:val="006E07F7"/>
    <w:rsid w:val="006E32D5"/>
    <w:rsid w:val="006E3EF4"/>
    <w:rsid w:val="006E4437"/>
    <w:rsid w:val="006E464B"/>
    <w:rsid w:val="006E50FA"/>
    <w:rsid w:val="006E5135"/>
    <w:rsid w:val="006E6A7F"/>
    <w:rsid w:val="006F7239"/>
    <w:rsid w:val="0070037E"/>
    <w:rsid w:val="00702F91"/>
    <w:rsid w:val="00705D71"/>
    <w:rsid w:val="007069B4"/>
    <w:rsid w:val="00707B5F"/>
    <w:rsid w:val="007106BE"/>
    <w:rsid w:val="00714272"/>
    <w:rsid w:val="00714EA7"/>
    <w:rsid w:val="007207B3"/>
    <w:rsid w:val="007224B1"/>
    <w:rsid w:val="007244B4"/>
    <w:rsid w:val="00725043"/>
    <w:rsid w:val="00726F3B"/>
    <w:rsid w:val="00730A7E"/>
    <w:rsid w:val="00732E81"/>
    <w:rsid w:val="00737178"/>
    <w:rsid w:val="0073766A"/>
    <w:rsid w:val="00740EC6"/>
    <w:rsid w:val="00742103"/>
    <w:rsid w:val="0074246E"/>
    <w:rsid w:val="007439B8"/>
    <w:rsid w:val="00743E37"/>
    <w:rsid w:val="0074509F"/>
    <w:rsid w:val="00745437"/>
    <w:rsid w:val="00745644"/>
    <w:rsid w:val="007537B4"/>
    <w:rsid w:val="00753C11"/>
    <w:rsid w:val="0075402D"/>
    <w:rsid w:val="0075498E"/>
    <w:rsid w:val="00757709"/>
    <w:rsid w:val="00760441"/>
    <w:rsid w:val="00760918"/>
    <w:rsid w:val="007612F3"/>
    <w:rsid w:val="007615DE"/>
    <w:rsid w:val="00761660"/>
    <w:rsid w:val="00761CC7"/>
    <w:rsid w:val="00763EB4"/>
    <w:rsid w:val="00767B57"/>
    <w:rsid w:val="00767BD1"/>
    <w:rsid w:val="007718A6"/>
    <w:rsid w:val="00773589"/>
    <w:rsid w:val="00777DE1"/>
    <w:rsid w:val="0078314C"/>
    <w:rsid w:val="0078557E"/>
    <w:rsid w:val="00785FBF"/>
    <w:rsid w:val="0078629D"/>
    <w:rsid w:val="007862D1"/>
    <w:rsid w:val="00786CA3"/>
    <w:rsid w:val="00787EDA"/>
    <w:rsid w:val="00791720"/>
    <w:rsid w:val="00791D38"/>
    <w:rsid w:val="007921F7"/>
    <w:rsid w:val="007926EA"/>
    <w:rsid w:val="00792ECD"/>
    <w:rsid w:val="0079303A"/>
    <w:rsid w:val="00795439"/>
    <w:rsid w:val="007967E7"/>
    <w:rsid w:val="007969FB"/>
    <w:rsid w:val="007A3091"/>
    <w:rsid w:val="007A3457"/>
    <w:rsid w:val="007A3B58"/>
    <w:rsid w:val="007A608A"/>
    <w:rsid w:val="007B03FC"/>
    <w:rsid w:val="007B1569"/>
    <w:rsid w:val="007B1C10"/>
    <w:rsid w:val="007B32CB"/>
    <w:rsid w:val="007B360B"/>
    <w:rsid w:val="007C2A39"/>
    <w:rsid w:val="007C52CC"/>
    <w:rsid w:val="007D10FF"/>
    <w:rsid w:val="007D5865"/>
    <w:rsid w:val="007D6443"/>
    <w:rsid w:val="007D702A"/>
    <w:rsid w:val="007E034F"/>
    <w:rsid w:val="007E3C55"/>
    <w:rsid w:val="007E3DBB"/>
    <w:rsid w:val="007F3D65"/>
    <w:rsid w:val="007F5222"/>
    <w:rsid w:val="008004A3"/>
    <w:rsid w:val="0080328B"/>
    <w:rsid w:val="0080654F"/>
    <w:rsid w:val="0080743E"/>
    <w:rsid w:val="00807AA5"/>
    <w:rsid w:val="008149CF"/>
    <w:rsid w:val="008149F6"/>
    <w:rsid w:val="00815768"/>
    <w:rsid w:val="0081670D"/>
    <w:rsid w:val="00816F9B"/>
    <w:rsid w:val="0081799B"/>
    <w:rsid w:val="00820918"/>
    <w:rsid w:val="00821DF1"/>
    <w:rsid w:val="0083054F"/>
    <w:rsid w:val="008320CF"/>
    <w:rsid w:val="008337D1"/>
    <w:rsid w:val="00834FCE"/>
    <w:rsid w:val="00835244"/>
    <w:rsid w:val="00841783"/>
    <w:rsid w:val="00841911"/>
    <w:rsid w:val="00842632"/>
    <w:rsid w:val="008447D1"/>
    <w:rsid w:val="00844D22"/>
    <w:rsid w:val="00844FF5"/>
    <w:rsid w:val="00851614"/>
    <w:rsid w:val="0085270E"/>
    <w:rsid w:val="00855FD2"/>
    <w:rsid w:val="00857ECA"/>
    <w:rsid w:val="00860EF2"/>
    <w:rsid w:val="00863829"/>
    <w:rsid w:val="00867CA6"/>
    <w:rsid w:val="0087293D"/>
    <w:rsid w:val="0087550D"/>
    <w:rsid w:val="00876275"/>
    <w:rsid w:val="0087699E"/>
    <w:rsid w:val="00876B2A"/>
    <w:rsid w:val="00876E9F"/>
    <w:rsid w:val="008801E7"/>
    <w:rsid w:val="008814CF"/>
    <w:rsid w:val="008835CF"/>
    <w:rsid w:val="00884FE2"/>
    <w:rsid w:val="0088516E"/>
    <w:rsid w:val="00886AAD"/>
    <w:rsid w:val="008900C0"/>
    <w:rsid w:val="0089194F"/>
    <w:rsid w:val="008928A9"/>
    <w:rsid w:val="008936C9"/>
    <w:rsid w:val="00894484"/>
    <w:rsid w:val="0089572E"/>
    <w:rsid w:val="008958E6"/>
    <w:rsid w:val="008966A9"/>
    <w:rsid w:val="008A0061"/>
    <w:rsid w:val="008A104F"/>
    <w:rsid w:val="008A1C80"/>
    <w:rsid w:val="008A4BEE"/>
    <w:rsid w:val="008B24F7"/>
    <w:rsid w:val="008B4887"/>
    <w:rsid w:val="008B72FB"/>
    <w:rsid w:val="008C2BC1"/>
    <w:rsid w:val="008C377E"/>
    <w:rsid w:val="008C69BC"/>
    <w:rsid w:val="008D0574"/>
    <w:rsid w:val="008D0E5A"/>
    <w:rsid w:val="008D1556"/>
    <w:rsid w:val="008D40B8"/>
    <w:rsid w:val="008E0CEE"/>
    <w:rsid w:val="008E1A00"/>
    <w:rsid w:val="008E4EB1"/>
    <w:rsid w:val="008E5366"/>
    <w:rsid w:val="008E5C31"/>
    <w:rsid w:val="008F1CEA"/>
    <w:rsid w:val="008F1E6E"/>
    <w:rsid w:val="008F2737"/>
    <w:rsid w:val="008F556B"/>
    <w:rsid w:val="00904791"/>
    <w:rsid w:val="00904BF3"/>
    <w:rsid w:val="009058FC"/>
    <w:rsid w:val="00905A4E"/>
    <w:rsid w:val="00906A26"/>
    <w:rsid w:val="00913B5D"/>
    <w:rsid w:val="00913BF9"/>
    <w:rsid w:val="009154D4"/>
    <w:rsid w:val="00915E26"/>
    <w:rsid w:val="00920419"/>
    <w:rsid w:val="00920928"/>
    <w:rsid w:val="00923C94"/>
    <w:rsid w:val="00930206"/>
    <w:rsid w:val="009306DA"/>
    <w:rsid w:val="0093099C"/>
    <w:rsid w:val="00930EF2"/>
    <w:rsid w:val="009322E8"/>
    <w:rsid w:val="00933265"/>
    <w:rsid w:val="00935F13"/>
    <w:rsid w:val="009362DA"/>
    <w:rsid w:val="00936475"/>
    <w:rsid w:val="00942927"/>
    <w:rsid w:val="009450DB"/>
    <w:rsid w:val="00945865"/>
    <w:rsid w:val="009464A0"/>
    <w:rsid w:val="009472F6"/>
    <w:rsid w:val="00947912"/>
    <w:rsid w:val="00947F66"/>
    <w:rsid w:val="00960F3C"/>
    <w:rsid w:val="00963BE9"/>
    <w:rsid w:val="00970995"/>
    <w:rsid w:val="00972D97"/>
    <w:rsid w:val="00973E4E"/>
    <w:rsid w:val="0097483F"/>
    <w:rsid w:val="00977D5E"/>
    <w:rsid w:val="00977EAF"/>
    <w:rsid w:val="0098668B"/>
    <w:rsid w:val="009903F4"/>
    <w:rsid w:val="00990408"/>
    <w:rsid w:val="00990E77"/>
    <w:rsid w:val="00993ACA"/>
    <w:rsid w:val="00993C07"/>
    <w:rsid w:val="009979F2"/>
    <w:rsid w:val="009A5AA1"/>
    <w:rsid w:val="009A7187"/>
    <w:rsid w:val="009A7B42"/>
    <w:rsid w:val="009B117A"/>
    <w:rsid w:val="009B2C82"/>
    <w:rsid w:val="009B2FDE"/>
    <w:rsid w:val="009B569C"/>
    <w:rsid w:val="009C2A15"/>
    <w:rsid w:val="009C4DC6"/>
    <w:rsid w:val="009C53E6"/>
    <w:rsid w:val="009C751F"/>
    <w:rsid w:val="009D0270"/>
    <w:rsid w:val="009D09CC"/>
    <w:rsid w:val="009D16F9"/>
    <w:rsid w:val="009D2881"/>
    <w:rsid w:val="009E1017"/>
    <w:rsid w:val="009E3772"/>
    <w:rsid w:val="009E5776"/>
    <w:rsid w:val="009E5F72"/>
    <w:rsid w:val="009E75B6"/>
    <w:rsid w:val="009F357B"/>
    <w:rsid w:val="009F4BAE"/>
    <w:rsid w:val="009F63AC"/>
    <w:rsid w:val="009F6D90"/>
    <w:rsid w:val="00A00057"/>
    <w:rsid w:val="00A00267"/>
    <w:rsid w:val="00A005C8"/>
    <w:rsid w:val="00A00AC0"/>
    <w:rsid w:val="00A00E5A"/>
    <w:rsid w:val="00A01356"/>
    <w:rsid w:val="00A03181"/>
    <w:rsid w:val="00A034F5"/>
    <w:rsid w:val="00A04EA2"/>
    <w:rsid w:val="00A06AC9"/>
    <w:rsid w:val="00A07F2C"/>
    <w:rsid w:val="00A07F93"/>
    <w:rsid w:val="00A11384"/>
    <w:rsid w:val="00A16C23"/>
    <w:rsid w:val="00A22125"/>
    <w:rsid w:val="00A24617"/>
    <w:rsid w:val="00A24DFE"/>
    <w:rsid w:val="00A269AA"/>
    <w:rsid w:val="00A35B93"/>
    <w:rsid w:val="00A35DA8"/>
    <w:rsid w:val="00A44441"/>
    <w:rsid w:val="00A44CE5"/>
    <w:rsid w:val="00A51F96"/>
    <w:rsid w:val="00A56475"/>
    <w:rsid w:val="00A56A5A"/>
    <w:rsid w:val="00A63875"/>
    <w:rsid w:val="00A64FF6"/>
    <w:rsid w:val="00A672F5"/>
    <w:rsid w:val="00A675F1"/>
    <w:rsid w:val="00A70388"/>
    <w:rsid w:val="00A711F6"/>
    <w:rsid w:val="00A764D6"/>
    <w:rsid w:val="00A80272"/>
    <w:rsid w:val="00A82146"/>
    <w:rsid w:val="00A827FC"/>
    <w:rsid w:val="00A8300E"/>
    <w:rsid w:val="00A9032C"/>
    <w:rsid w:val="00A94956"/>
    <w:rsid w:val="00A962A4"/>
    <w:rsid w:val="00A96FF0"/>
    <w:rsid w:val="00AA07E2"/>
    <w:rsid w:val="00AA7BD3"/>
    <w:rsid w:val="00AB1AD6"/>
    <w:rsid w:val="00AB552D"/>
    <w:rsid w:val="00AB58A1"/>
    <w:rsid w:val="00AB6D82"/>
    <w:rsid w:val="00AB79B2"/>
    <w:rsid w:val="00AC13D8"/>
    <w:rsid w:val="00AC1CF6"/>
    <w:rsid w:val="00AD1028"/>
    <w:rsid w:val="00AD328E"/>
    <w:rsid w:val="00AE0302"/>
    <w:rsid w:val="00AE3FEC"/>
    <w:rsid w:val="00AE4394"/>
    <w:rsid w:val="00AE5409"/>
    <w:rsid w:val="00AE5FF9"/>
    <w:rsid w:val="00AE74B1"/>
    <w:rsid w:val="00AF0FA9"/>
    <w:rsid w:val="00AF21F5"/>
    <w:rsid w:val="00AF362B"/>
    <w:rsid w:val="00AF48FF"/>
    <w:rsid w:val="00AF4CA7"/>
    <w:rsid w:val="00AF6234"/>
    <w:rsid w:val="00AF695D"/>
    <w:rsid w:val="00B01070"/>
    <w:rsid w:val="00B01E33"/>
    <w:rsid w:val="00B039B3"/>
    <w:rsid w:val="00B04BD4"/>
    <w:rsid w:val="00B121F0"/>
    <w:rsid w:val="00B1313F"/>
    <w:rsid w:val="00B13E28"/>
    <w:rsid w:val="00B149C9"/>
    <w:rsid w:val="00B16005"/>
    <w:rsid w:val="00B201C1"/>
    <w:rsid w:val="00B210A6"/>
    <w:rsid w:val="00B22664"/>
    <w:rsid w:val="00B2306C"/>
    <w:rsid w:val="00B2705E"/>
    <w:rsid w:val="00B30A19"/>
    <w:rsid w:val="00B30CAE"/>
    <w:rsid w:val="00B318C1"/>
    <w:rsid w:val="00B31CE1"/>
    <w:rsid w:val="00B354DC"/>
    <w:rsid w:val="00B4171A"/>
    <w:rsid w:val="00B459C3"/>
    <w:rsid w:val="00B45C40"/>
    <w:rsid w:val="00B46F25"/>
    <w:rsid w:val="00B5160B"/>
    <w:rsid w:val="00B51AFB"/>
    <w:rsid w:val="00B51E13"/>
    <w:rsid w:val="00B547F2"/>
    <w:rsid w:val="00B55EB8"/>
    <w:rsid w:val="00B626A6"/>
    <w:rsid w:val="00B636A8"/>
    <w:rsid w:val="00B64C71"/>
    <w:rsid w:val="00B77261"/>
    <w:rsid w:val="00B776C4"/>
    <w:rsid w:val="00B810B1"/>
    <w:rsid w:val="00B81FC5"/>
    <w:rsid w:val="00B82CB9"/>
    <w:rsid w:val="00B8374C"/>
    <w:rsid w:val="00B86409"/>
    <w:rsid w:val="00B911E3"/>
    <w:rsid w:val="00B9194D"/>
    <w:rsid w:val="00B95A1B"/>
    <w:rsid w:val="00B9648C"/>
    <w:rsid w:val="00BA04CD"/>
    <w:rsid w:val="00BA0584"/>
    <w:rsid w:val="00BA13D8"/>
    <w:rsid w:val="00BA2057"/>
    <w:rsid w:val="00BA3BC0"/>
    <w:rsid w:val="00BA40A5"/>
    <w:rsid w:val="00BA74B8"/>
    <w:rsid w:val="00BB4B87"/>
    <w:rsid w:val="00BB67D6"/>
    <w:rsid w:val="00BB67D9"/>
    <w:rsid w:val="00BC1417"/>
    <w:rsid w:val="00BC15F7"/>
    <w:rsid w:val="00BC17E0"/>
    <w:rsid w:val="00BC2275"/>
    <w:rsid w:val="00BC3EF7"/>
    <w:rsid w:val="00BC51B0"/>
    <w:rsid w:val="00BC745B"/>
    <w:rsid w:val="00BD157D"/>
    <w:rsid w:val="00BD3311"/>
    <w:rsid w:val="00BD4414"/>
    <w:rsid w:val="00BD4934"/>
    <w:rsid w:val="00BD4DA4"/>
    <w:rsid w:val="00BD7140"/>
    <w:rsid w:val="00BE0428"/>
    <w:rsid w:val="00BE191C"/>
    <w:rsid w:val="00BE27F6"/>
    <w:rsid w:val="00BE36B2"/>
    <w:rsid w:val="00BE3C67"/>
    <w:rsid w:val="00BE4E97"/>
    <w:rsid w:val="00BE5AFE"/>
    <w:rsid w:val="00BE6366"/>
    <w:rsid w:val="00BF0DC2"/>
    <w:rsid w:val="00BF1A2D"/>
    <w:rsid w:val="00BF25D7"/>
    <w:rsid w:val="00BF6715"/>
    <w:rsid w:val="00BF7DC0"/>
    <w:rsid w:val="00C04611"/>
    <w:rsid w:val="00C0570E"/>
    <w:rsid w:val="00C059C6"/>
    <w:rsid w:val="00C101DA"/>
    <w:rsid w:val="00C103FE"/>
    <w:rsid w:val="00C15DCC"/>
    <w:rsid w:val="00C160FA"/>
    <w:rsid w:val="00C20366"/>
    <w:rsid w:val="00C212F8"/>
    <w:rsid w:val="00C24EA2"/>
    <w:rsid w:val="00C2593D"/>
    <w:rsid w:val="00C2688B"/>
    <w:rsid w:val="00C30659"/>
    <w:rsid w:val="00C33BF1"/>
    <w:rsid w:val="00C35058"/>
    <w:rsid w:val="00C357D5"/>
    <w:rsid w:val="00C40EF4"/>
    <w:rsid w:val="00C4135C"/>
    <w:rsid w:val="00C41DBB"/>
    <w:rsid w:val="00C42A7C"/>
    <w:rsid w:val="00C42EAF"/>
    <w:rsid w:val="00C45312"/>
    <w:rsid w:val="00C474A2"/>
    <w:rsid w:val="00C506EC"/>
    <w:rsid w:val="00C54E84"/>
    <w:rsid w:val="00C57BA3"/>
    <w:rsid w:val="00C601BC"/>
    <w:rsid w:val="00C61E63"/>
    <w:rsid w:val="00C62AE8"/>
    <w:rsid w:val="00C644E2"/>
    <w:rsid w:val="00C65557"/>
    <w:rsid w:val="00C65C26"/>
    <w:rsid w:val="00C721DE"/>
    <w:rsid w:val="00C813C8"/>
    <w:rsid w:val="00C819B1"/>
    <w:rsid w:val="00C82CB7"/>
    <w:rsid w:val="00C8418E"/>
    <w:rsid w:val="00C86147"/>
    <w:rsid w:val="00C86534"/>
    <w:rsid w:val="00C86805"/>
    <w:rsid w:val="00C869FF"/>
    <w:rsid w:val="00C86D1E"/>
    <w:rsid w:val="00C87306"/>
    <w:rsid w:val="00C87BD3"/>
    <w:rsid w:val="00C92470"/>
    <w:rsid w:val="00C92D8D"/>
    <w:rsid w:val="00C93131"/>
    <w:rsid w:val="00C956BF"/>
    <w:rsid w:val="00C963A2"/>
    <w:rsid w:val="00C96D73"/>
    <w:rsid w:val="00CA2D18"/>
    <w:rsid w:val="00CA4FF3"/>
    <w:rsid w:val="00CA5B15"/>
    <w:rsid w:val="00CA667A"/>
    <w:rsid w:val="00CA67C1"/>
    <w:rsid w:val="00CA6BDD"/>
    <w:rsid w:val="00CA71B5"/>
    <w:rsid w:val="00CA785A"/>
    <w:rsid w:val="00CB34F3"/>
    <w:rsid w:val="00CB3B56"/>
    <w:rsid w:val="00CB3DE9"/>
    <w:rsid w:val="00CB4FAF"/>
    <w:rsid w:val="00CB7342"/>
    <w:rsid w:val="00CC129C"/>
    <w:rsid w:val="00CC17ED"/>
    <w:rsid w:val="00CC3A46"/>
    <w:rsid w:val="00CC564C"/>
    <w:rsid w:val="00CC6236"/>
    <w:rsid w:val="00CD0298"/>
    <w:rsid w:val="00CD18B9"/>
    <w:rsid w:val="00CD2D6B"/>
    <w:rsid w:val="00CD4482"/>
    <w:rsid w:val="00CD53FD"/>
    <w:rsid w:val="00CE1C80"/>
    <w:rsid w:val="00CE4BF1"/>
    <w:rsid w:val="00CE508E"/>
    <w:rsid w:val="00CE57C0"/>
    <w:rsid w:val="00CF1970"/>
    <w:rsid w:val="00CF6BB1"/>
    <w:rsid w:val="00CF70DE"/>
    <w:rsid w:val="00CF7CB0"/>
    <w:rsid w:val="00CF7D95"/>
    <w:rsid w:val="00D053F7"/>
    <w:rsid w:val="00D06A49"/>
    <w:rsid w:val="00D1039D"/>
    <w:rsid w:val="00D156D2"/>
    <w:rsid w:val="00D21E1E"/>
    <w:rsid w:val="00D23DA7"/>
    <w:rsid w:val="00D23F72"/>
    <w:rsid w:val="00D26584"/>
    <w:rsid w:val="00D27C8B"/>
    <w:rsid w:val="00D310D7"/>
    <w:rsid w:val="00D34A55"/>
    <w:rsid w:val="00D43539"/>
    <w:rsid w:val="00D43540"/>
    <w:rsid w:val="00D47AD9"/>
    <w:rsid w:val="00D508CC"/>
    <w:rsid w:val="00D50D09"/>
    <w:rsid w:val="00D50D44"/>
    <w:rsid w:val="00D524B8"/>
    <w:rsid w:val="00D53DCE"/>
    <w:rsid w:val="00D567B5"/>
    <w:rsid w:val="00D56834"/>
    <w:rsid w:val="00D5705E"/>
    <w:rsid w:val="00D611D0"/>
    <w:rsid w:val="00D61D22"/>
    <w:rsid w:val="00D62073"/>
    <w:rsid w:val="00D62BEB"/>
    <w:rsid w:val="00D62D5E"/>
    <w:rsid w:val="00D67287"/>
    <w:rsid w:val="00D67D57"/>
    <w:rsid w:val="00D70357"/>
    <w:rsid w:val="00D7063D"/>
    <w:rsid w:val="00D7411D"/>
    <w:rsid w:val="00D76E3E"/>
    <w:rsid w:val="00D771F7"/>
    <w:rsid w:val="00D776AB"/>
    <w:rsid w:val="00D801A0"/>
    <w:rsid w:val="00D83474"/>
    <w:rsid w:val="00D84765"/>
    <w:rsid w:val="00D84C51"/>
    <w:rsid w:val="00D8596C"/>
    <w:rsid w:val="00D86C01"/>
    <w:rsid w:val="00D91C31"/>
    <w:rsid w:val="00D92EE7"/>
    <w:rsid w:val="00D938B1"/>
    <w:rsid w:val="00D94D4B"/>
    <w:rsid w:val="00D95437"/>
    <w:rsid w:val="00D97500"/>
    <w:rsid w:val="00D97D81"/>
    <w:rsid w:val="00DA3A13"/>
    <w:rsid w:val="00DA3A47"/>
    <w:rsid w:val="00DA46B9"/>
    <w:rsid w:val="00DA4C3F"/>
    <w:rsid w:val="00DA4E61"/>
    <w:rsid w:val="00DA5083"/>
    <w:rsid w:val="00DA5F5A"/>
    <w:rsid w:val="00DA65C7"/>
    <w:rsid w:val="00DA78C6"/>
    <w:rsid w:val="00DB0547"/>
    <w:rsid w:val="00DB2334"/>
    <w:rsid w:val="00DB2DE6"/>
    <w:rsid w:val="00DB5829"/>
    <w:rsid w:val="00DB5C69"/>
    <w:rsid w:val="00DB6CCE"/>
    <w:rsid w:val="00DC088A"/>
    <w:rsid w:val="00DC224F"/>
    <w:rsid w:val="00DC6B15"/>
    <w:rsid w:val="00DC7269"/>
    <w:rsid w:val="00DD07FD"/>
    <w:rsid w:val="00DD19BF"/>
    <w:rsid w:val="00DD2D80"/>
    <w:rsid w:val="00DD2F52"/>
    <w:rsid w:val="00DD3F80"/>
    <w:rsid w:val="00DD54AA"/>
    <w:rsid w:val="00DD670F"/>
    <w:rsid w:val="00DE0584"/>
    <w:rsid w:val="00DE0C81"/>
    <w:rsid w:val="00DE2FB2"/>
    <w:rsid w:val="00DE33F2"/>
    <w:rsid w:val="00DE54C4"/>
    <w:rsid w:val="00DE5B95"/>
    <w:rsid w:val="00DE5BB8"/>
    <w:rsid w:val="00DE6A92"/>
    <w:rsid w:val="00DE6D01"/>
    <w:rsid w:val="00DE71DA"/>
    <w:rsid w:val="00DF1EE3"/>
    <w:rsid w:val="00DF2F2F"/>
    <w:rsid w:val="00DF3FCB"/>
    <w:rsid w:val="00DF4D4C"/>
    <w:rsid w:val="00E00F2E"/>
    <w:rsid w:val="00E02EE9"/>
    <w:rsid w:val="00E05577"/>
    <w:rsid w:val="00E06755"/>
    <w:rsid w:val="00E1113A"/>
    <w:rsid w:val="00E11A17"/>
    <w:rsid w:val="00E12438"/>
    <w:rsid w:val="00E15EC9"/>
    <w:rsid w:val="00E179DC"/>
    <w:rsid w:val="00E20C5B"/>
    <w:rsid w:val="00E21134"/>
    <w:rsid w:val="00E21658"/>
    <w:rsid w:val="00E216EC"/>
    <w:rsid w:val="00E2476C"/>
    <w:rsid w:val="00E25202"/>
    <w:rsid w:val="00E25394"/>
    <w:rsid w:val="00E25A11"/>
    <w:rsid w:val="00E278F4"/>
    <w:rsid w:val="00E30916"/>
    <w:rsid w:val="00E30C0B"/>
    <w:rsid w:val="00E32821"/>
    <w:rsid w:val="00E343B7"/>
    <w:rsid w:val="00E36534"/>
    <w:rsid w:val="00E40B1A"/>
    <w:rsid w:val="00E43F4D"/>
    <w:rsid w:val="00E4523E"/>
    <w:rsid w:val="00E45273"/>
    <w:rsid w:val="00E54460"/>
    <w:rsid w:val="00E55815"/>
    <w:rsid w:val="00E57E5C"/>
    <w:rsid w:val="00E613A9"/>
    <w:rsid w:val="00E6191D"/>
    <w:rsid w:val="00E63850"/>
    <w:rsid w:val="00E64E1F"/>
    <w:rsid w:val="00E65720"/>
    <w:rsid w:val="00E66256"/>
    <w:rsid w:val="00E73C3B"/>
    <w:rsid w:val="00E74095"/>
    <w:rsid w:val="00E740B4"/>
    <w:rsid w:val="00E80B0D"/>
    <w:rsid w:val="00E8183F"/>
    <w:rsid w:val="00E82D37"/>
    <w:rsid w:val="00E842AA"/>
    <w:rsid w:val="00E8649A"/>
    <w:rsid w:val="00E87519"/>
    <w:rsid w:val="00E87B1A"/>
    <w:rsid w:val="00E9014A"/>
    <w:rsid w:val="00E92183"/>
    <w:rsid w:val="00E928DA"/>
    <w:rsid w:val="00E938B0"/>
    <w:rsid w:val="00E95770"/>
    <w:rsid w:val="00E95B4C"/>
    <w:rsid w:val="00E95E89"/>
    <w:rsid w:val="00E96BE7"/>
    <w:rsid w:val="00E97375"/>
    <w:rsid w:val="00E97B11"/>
    <w:rsid w:val="00EA2705"/>
    <w:rsid w:val="00EA61E4"/>
    <w:rsid w:val="00EA680E"/>
    <w:rsid w:val="00EA7372"/>
    <w:rsid w:val="00EA7EAC"/>
    <w:rsid w:val="00EB2FC2"/>
    <w:rsid w:val="00EB3966"/>
    <w:rsid w:val="00EB58CE"/>
    <w:rsid w:val="00EC2D87"/>
    <w:rsid w:val="00EC4C22"/>
    <w:rsid w:val="00EC6B44"/>
    <w:rsid w:val="00EC7B4F"/>
    <w:rsid w:val="00ED2358"/>
    <w:rsid w:val="00ED2B3B"/>
    <w:rsid w:val="00ED3C6D"/>
    <w:rsid w:val="00ED447B"/>
    <w:rsid w:val="00ED5518"/>
    <w:rsid w:val="00ED5A51"/>
    <w:rsid w:val="00ED6849"/>
    <w:rsid w:val="00ED75B2"/>
    <w:rsid w:val="00EE20DA"/>
    <w:rsid w:val="00EF248D"/>
    <w:rsid w:val="00EF26FB"/>
    <w:rsid w:val="00EF3586"/>
    <w:rsid w:val="00EF4559"/>
    <w:rsid w:val="00F002F9"/>
    <w:rsid w:val="00F0490A"/>
    <w:rsid w:val="00F050E1"/>
    <w:rsid w:val="00F1196E"/>
    <w:rsid w:val="00F133C1"/>
    <w:rsid w:val="00F142DA"/>
    <w:rsid w:val="00F2031D"/>
    <w:rsid w:val="00F20C3B"/>
    <w:rsid w:val="00F213BD"/>
    <w:rsid w:val="00F21937"/>
    <w:rsid w:val="00F24705"/>
    <w:rsid w:val="00F255D2"/>
    <w:rsid w:val="00F25FF6"/>
    <w:rsid w:val="00F32DAF"/>
    <w:rsid w:val="00F37108"/>
    <w:rsid w:val="00F41FBC"/>
    <w:rsid w:val="00F42D72"/>
    <w:rsid w:val="00F505FC"/>
    <w:rsid w:val="00F50797"/>
    <w:rsid w:val="00F532F0"/>
    <w:rsid w:val="00F534A6"/>
    <w:rsid w:val="00F538A1"/>
    <w:rsid w:val="00F53C86"/>
    <w:rsid w:val="00F56357"/>
    <w:rsid w:val="00F565F8"/>
    <w:rsid w:val="00F57A9F"/>
    <w:rsid w:val="00F60589"/>
    <w:rsid w:val="00F623D1"/>
    <w:rsid w:val="00F624A9"/>
    <w:rsid w:val="00F62A34"/>
    <w:rsid w:val="00F633CD"/>
    <w:rsid w:val="00F65EBA"/>
    <w:rsid w:val="00F67245"/>
    <w:rsid w:val="00F76368"/>
    <w:rsid w:val="00F769FC"/>
    <w:rsid w:val="00F775EC"/>
    <w:rsid w:val="00F77FDC"/>
    <w:rsid w:val="00F8110E"/>
    <w:rsid w:val="00F824AA"/>
    <w:rsid w:val="00F8406F"/>
    <w:rsid w:val="00F853D3"/>
    <w:rsid w:val="00F87DDC"/>
    <w:rsid w:val="00F93DD9"/>
    <w:rsid w:val="00F951CB"/>
    <w:rsid w:val="00F95E1C"/>
    <w:rsid w:val="00FA0795"/>
    <w:rsid w:val="00FA2257"/>
    <w:rsid w:val="00FA4B0C"/>
    <w:rsid w:val="00FB2957"/>
    <w:rsid w:val="00FB2CE2"/>
    <w:rsid w:val="00FB42B9"/>
    <w:rsid w:val="00FB6285"/>
    <w:rsid w:val="00FC620D"/>
    <w:rsid w:val="00FC79BA"/>
    <w:rsid w:val="00FC7C40"/>
    <w:rsid w:val="00FD301B"/>
    <w:rsid w:val="00FD5B22"/>
    <w:rsid w:val="00FD5B73"/>
    <w:rsid w:val="00FD6351"/>
    <w:rsid w:val="00FE0B09"/>
    <w:rsid w:val="00FE2011"/>
    <w:rsid w:val="00FE2856"/>
    <w:rsid w:val="00FE32EC"/>
    <w:rsid w:val="00FE4155"/>
    <w:rsid w:val="00FE50EF"/>
    <w:rsid w:val="00FE65E0"/>
    <w:rsid w:val="00FF08C0"/>
    <w:rsid w:val="00FF2A24"/>
    <w:rsid w:val="00FF744D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6BF"/>
  </w:style>
  <w:style w:type="paragraph" w:styleId="a7">
    <w:name w:val="footer"/>
    <w:basedOn w:val="a"/>
    <w:link w:val="a8"/>
    <w:uiPriority w:val="99"/>
    <w:unhideWhenUsed/>
    <w:rsid w:val="00C9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6BF"/>
  </w:style>
  <w:style w:type="paragraph" w:styleId="a9">
    <w:name w:val="List Paragraph"/>
    <w:basedOn w:val="a"/>
    <w:qFormat/>
    <w:rsid w:val="00D156D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uiPriority w:val="99"/>
    <w:rsid w:val="00D156D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156D2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D156D2"/>
    <w:rPr>
      <w:color w:val="0000FF"/>
      <w:u w:val="single"/>
    </w:rPr>
  </w:style>
  <w:style w:type="paragraph" w:styleId="ab">
    <w:name w:val="Title"/>
    <w:aliases w:val="Title Char"/>
    <w:basedOn w:val="a"/>
    <w:link w:val="ac"/>
    <w:qFormat/>
    <w:rsid w:val="00D156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aliases w:val="Title Char Знак"/>
    <w:basedOn w:val="a0"/>
    <w:link w:val="ab"/>
    <w:rsid w:val="00D156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1A552-E886-4814-99EA-C2E3F3B0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13</Pages>
  <Words>3913</Words>
  <Characters>22305</Characters>
  <Application>Microsoft Office Word</Application>
  <DocSecurity>8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2012-10-31T06:46:00Z</dcterms:created>
  <dcterms:modified xsi:type="dcterms:W3CDTF">2012-11-12T11:46:00Z</dcterms:modified>
</cp:coreProperties>
</file>